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D67C1B" w14:textId="77777777" w:rsidR="008F4713" w:rsidRPr="00AE677F" w:rsidRDefault="009B2B28" w:rsidP="001C75BE">
      <w:pPr>
        <w:widowControl w:val="0"/>
        <w:autoSpaceDE w:val="0"/>
        <w:autoSpaceDN w:val="0"/>
        <w:adjustRightInd w:val="0"/>
        <w:spacing w:after="0"/>
        <w:jc w:val="center"/>
        <w:rPr>
          <w:rFonts w:ascii="Calibri" w:hAnsi="Calibri" w:cs="Calibri"/>
          <w:b/>
          <w:bCs/>
          <w:sz w:val="28"/>
          <w:szCs w:val="46"/>
        </w:rPr>
      </w:pPr>
      <w:bookmarkStart w:id="0" w:name="_GoBack"/>
      <w:r w:rsidRPr="00AE677F">
        <w:rPr>
          <w:rFonts w:ascii="Calibri" w:hAnsi="Calibri" w:cs="Calibri"/>
          <w:b/>
          <w:bCs/>
          <w:noProof/>
          <w:sz w:val="28"/>
          <w:szCs w:val="46"/>
          <w:lang w:eastAsia="es-ES_tradnl"/>
        </w:rPr>
        <w:drawing>
          <wp:anchor distT="0" distB="0" distL="114300" distR="114300" simplePos="0" relativeHeight="251658240" behindDoc="0" locked="0" layoutInCell="1" allowOverlap="1" wp14:anchorId="1890BF16" wp14:editId="03FF7162">
            <wp:simplePos x="0" y="0"/>
            <wp:positionH relativeFrom="column">
              <wp:posOffset>2286000</wp:posOffset>
            </wp:positionH>
            <wp:positionV relativeFrom="paragraph">
              <wp:posOffset>-6985</wp:posOffset>
            </wp:positionV>
            <wp:extent cx="1041400" cy="626110"/>
            <wp:effectExtent l="0" t="0" r="0" b="0"/>
            <wp:wrapNone/>
            <wp:docPr id="5" name="Imagen 45" descr="Logo-JUBILEO-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 descr="Logo-JUBILEO-web"/>
                    <pic:cNvPicPr>
                      <a:picLocks noChangeAspect="1" noChangeArrowheads="1"/>
                    </pic:cNvPicPr>
                  </pic:nvPicPr>
                  <pic:blipFill>
                    <a:blip r:embed="rId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41400" cy="626110"/>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0"/>
    <w:p w14:paraId="5A63F671" w14:textId="77777777" w:rsidR="001C75BE" w:rsidRPr="00AE677F" w:rsidRDefault="001C75BE" w:rsidP="001C75BE">
      <w:pPr>
        <w:widowControl w:val="0"/>
        <w:autoSpaceDE w:val="0"/>
        <w:autoSpaceDN w:val="0"/>
        <w:adjustRightInd w:val="0"/>
        <w:spacing w:after="0"/>
        <w:jc w:val="center"/>
        <w:rPr>
          <w:rFonts w:ascii="Calibri" w:hAnsi="Calibri" w:cs="Calibri"/>
          <w:b/>
          <w:bCs/>
          <w:sz w:val="28"/>
          <w:szCs w:val="46"/>
        </w:rPr>
      </w:pPr>
    </w:p>
    <w:p w14:paraId="47F236B3" w14:textId="77777777" w:rsidR="001C75BE" w:rsidRPr="00AE677F" w:rsidRDefault="001C75BE" w:rsidP="001C75BE">
      <w:pPr>
        <w:widowControl w:val="0"/>
        <w:autoSpaceDE w:val="0"/>
        <w:autoSpaceDN w:val="0"/>
        <w:adjustRightInd w:val="0"/>
        <w:spacing w:after="0"/>
        <w:jc w:val="center"/>
        <w:rPr>
          <w:rFonts w:ascii="Calibri" w:hAnsi="Calibri" w:cs="Calibri"/>
          <w:b/>
          <w:bCs/>
          <w:sz w:val="28"/>
          <w:szCs w:val="46"/>
        </w:rPr>
      </w:pPr>
    </w:p>
    <w:p w14:paraId="32294F37" w14:textId="77777777" w:rsidR="001C75BE" w:rsidRPr="00AE677F" w:rsidRDefault="001C75BE" w:rsidP="001C75BE">
      <w:pPr>
        <w:widowControl w:val="0"/>
        <w:autoSpaceDE w:val="0"/>
        <w:autoSpaceDN w:val="0"/>
        <w:adjustRightInd w:val="0"/>
        <w:spacing w:after="0"/>
        <w:jc w:val="center"/>
        <w:rPr>
          <w:rFonts w:ascii="Calibri" w:hAnsi="Calibri" w:cs="Calibri"/>
          <w:b/>
          <w:bCs/>
          <w:sz w:val="28"/>
          <w:szCs w:val="46"/>
        </w:rPr>
      </w:pPr>
    </w:p>
    <w:p w14:paraId="3577D695" w14:textId="49611155" w:rsidR="009207FE" w:rsidRDefault="00DB4D45" w:rsidP="00AE677F">
      <w:pPr>
        <w:jc w:val="center"/>
        <w:rPr>
          <w:rFonts w:ascii="Calibri" w:hAnsi="Calibri" w:cs="Calibri"/>
          <w:b/>
          <w:bCs/>
          <w:color w:val="000000" w:themeColor="text1"/>
          <w:sz w:val="26"/>
          <w:szCs w:val="46"/>
        </w:rPr>
      </w:pPr>
      <w:r>
        <w:rPr>
          <w:rFonts w:ascii="Calibri" w:hAnsi="Calibri" w:cs="Calibri"/>
          <w:b/>
          <w:bCs/>
          <w:color w:val="000000" w:themeColor="text1"/>
          <w:sz w:val="26"/>
          <w:szCs w:val="46"/>
        </w:rPr>
        <w:t xml:space="preserve">Bolivia </w:t>
      </w:r>
      <w:r w:rsidR="002D1D21">
        <w:rPr>
          <w:rFonts w:ascii="Calibri" w:hAnsi="Calibri" w:cs="Calibri"/>
          <w:b/>
          <w:bCs/>
          <w:color w:val="000000" w:themeColor="text1"/>
          <w:sz w:val="26"/>
          <w:szCs w:val="46"/>
        </w:rPr>
        <w:t xml:space="preserve">obtuvo </w:t>
      </w:r>
      <w:r w:rsidR="008B1CD4">
        <w:rPr>
          <w:rFonts w:ascii="Calibri" w:hAnsi="Calibri" w:cs="Calibri"/>
          <w:b/>
          <w:bCs/>
          <w:color w:val="000000" w:themeColor="text1"/>
          <w:sz w:val="26"/>
          <w:szCs w:val="46"/>
        </w:rPr>
        <w:t xml:space="preserve">calificación </w:t>
      </w:r>
      <w:r w:rsidR="002D1D21">
        <w:rPr>
          <w:rFonts w:ascii="Calibri" w:hAnsi="Calibri" w:cs="Calibri"/>
          <w:b/>
          <w:bCs/>
          <w:color w:val="000000" w:themeColor="text1"/>
          <w:sz w:val="26"/>
          <w:szCs w:val="46"/>
        </w:rPr>
        <w:t xml:space="preserve">de 30 sobre 100 </w:t>
      </w:r>
      <w:r w:rsidR="008B1CD4">
        <w:rPr>
          <w:rFonts w:ascii="Calibri" w:hAnsi="Calibri" w:cs="Calibri"/>
          <w:b/>
          <w:bCs/>
          <w:color w:val="000000" w:themeColor="text1"/>
          <w:sz w:val="26"/>
          <w:szCs w:val="46"/>
        </w:rPr>
        <w:t xml:space="preserve">sobre </w:t>
      </w:r>
      <w:r w:rsidR="008B1CD4">
        <w:rPr>
          <w:rFonts w:ascii="Calibri" w:hAnsi="Calibri" w:cs="Calibri"/>
          <w:b/>
          <w:bCs/>
          <w:color w:val="000000" w:themeColor="text1"/>
          <w:sz w:val="26"/>
          <w:szCs w:val="46"/>
        </w:rPr>
        <w:t xml:space="preserve">percepción </w:t>
      </w:r>
      <w:r w:rsidR="002D1D21">
        <w:rPr>
          <w:rFonts w:ascii="Calibri" w:hAnsi="Calibri" w:cs="Calibri"/>
          <w:b/>
          <w:bCs/>
          <w:color w:val="000000" w:themeColor="text1"/>
          <w:sz w:val="26"/>
          <w:szCs w:val="46"/>
        </w:rPr>
        <w:br/>
      </w:r>
      <w:r w:rsidR="008B1CD4">
        <w:rPr>
          <w:rFonts w:ascii="Calibri" w:hAnsi="Calibri" w:cs="Calibri"/>
          <w:b/>
          <w:bCs/>
          <w:color w:val="000000" w:themeColor="text1"/>
          <w:sz w:val="26"/>
          <w:szCs w:val="46"/>
        </w:rPr>
        <w:t>de la corrupció</w:t>
      </w:r>
      <w:r w:rsidR="008B1CD4">
        <w:rPr>
          <w:rFonts w:ascii="Calibri" w:hAnsi="Calibri" w:cs="Calibri"/>
          <w:b/>
          <w:bCs/>
          <w:color w:val="000000" w:themeColor="text1"/>
          <w:sz w:val="26"/>
          <w:szCs w:val="46"/>
        </w:rPr>
        <w:t xml:space="preserve">n </w:t>
      </w:r>
      <w:r w:rsidR="006E76D7">
        <w:rPr>
          <w:rFonts w:ascii="Calibri" w:hAnsi="Calibri" w:cs="Calibri"/>
          <w:b/>
          <w:bCs/>
          <w:color w:val="000000" w:themeColor="text1"/>
          <w:sz w:val="26"/>
          <w:szCs w:val="46"/>
        </w:rPr>
        <w:t>según</w:t>
      </w:r>
      <w:r w:rsidR="009207FE">
        <w:rPr>
          <w:rFonts w:ascii="Calibri" w:hAnsi="Calibri" w:cs="Calibri"/>
          <w:b/>
          <w:bCs/>
          <w:color w:val="000000" w:themeColor="text1"/>
          <w:sz w:val="26"/>
          <w:szCs w:val="46"/>
        </w:rPr>
        <w:t xml:space="preserve"> Transparencia Internacional </w:t>
      </w:r>
      <w:r w:rsidR="006E76D7">
        <w:rPr>
          <w:rFonts w:ascii="Calibri" w:hAnsi="Calibri" w:cs="Calibri"/>
          <w:b/>
          <w:bCs/>
          <w:color w:val="000000" w:themeColor="text1"/>
          <w:sz w:val="26"/>
          <w:szCs w:val="46"/>
        </w:rPr>
        <w:t>(TI)</w:t>
      </w:r>
      <w:r w:rsidR="009207FE">
        <w:rPr>
          <w:rFonts w:ascii="Calibri" w:hAnsi="Calibri" w:cs="Calibri"/>
          <w:b/>
          <w:bCs/>
          <w:color w:val="000000" w:themeColor="text1"/>
          <w:sz w:val="26"/>
          <w:szCs w:val="46"/>
        </w:rPr>
        <w:br/>
      </w:r>
    </w:p>
    <w:p w14:paraId="7C7043E2" w14:textId="1CB65A7B" w:rsidR="001C60D6" w:rsidRDefault="002D1D21" w:rsidP="001C60D6">
      <w:pPr>
        <w:pStyle w:val="Prrafodelista"/>
        <w:numPr>
          <w:ilvl w:val="0"/>
          <w:numId w:val="1"/>
        </w:numPr>
        <w:rPr>
          <w:rFonts w:ascii="Calibri" w:hAnsi="Calibri"/>
        </w:rPr>
      </w:pPr>
      <w:r>
        <w:rPr>
          <w:rFonts w:ascii="Calibri" w:hAnsi="Calibri"/>
        </w:rPr>
        <w:t>La calificación de</w:t>
      </w:r>
      <w:r w:rsidR="009207FE">
        <w:rPr>
          <w:rFonts w:ascii="Calibri" w:hAnsi="Calibri"/>
        </w:rPr>
        <w:t xml:space="preserve"> </w:t>
      </w:r>
      <w:r w:rsidR="001C60D6" w:rsidRPr="00AE677F">
        <w:rPr>
          <w:rFonts w:ascii="Calibri" w:hAnsi="Calibri"/>
        </w:rPr>
        <w:t xml:space="preserve">0 es </w:t>
      </w:r>
      <w:r>
        <w:rPr>
          <w:rFonts w:ascii="Calibri" w:hAnsi="Calibri"/>
        </w:rPr>
        <w:t xml:space="preserve">de </w:t>
      </w:r>
      <w:r w:rsidR="001C60D6" w:rsidRPr="00AE677F">
        <w:rPr>
          <w:rFonts w:ascii="Calibri" w:hAnsi="Calibri"/>
        </w:rPr>
        <w:t>m</w:t>
      </w:r>
      <w:r>
        <w:rPr>
          <w:rFonts w:ascii="Calibri" w:hAnsi="Calibri"/>
        </w:rPr>
        <w:t>ayor</w:t>
      </w:r>
      <w:r w:rsidR="001C60D6" w:rsidRPr="00AE677F">
        <w:rPr>
          <w:rFonts w:ascii="Calibri" w:hAnsi="Calibri"/>
        </w:rPr>
        <w:t xml:space="preserve"> corrup</w:t>
      </w:r>
      <w:r>
        <w:rPr>
          <w:rFonts w:ascii="Calibri" w:hAnsi="Calibri"/>
        </w:rPr>
        <w:t>ción</w:t>
      </w:r>
      <w:r w:rsidR="001C60D6" w:rsidRPr="00AE677F">
        <w:rPr>
          <w:rFonts w:ascii="Calibri" w:hAnsi="Calibri"/>
        </w:rPr>
        <w:t xml:space="preserve"> y </w:t>
      </w:r>
      <w:r>
        <w:rPr>
          <w:rFonts w:ascii="Calibri" w:hAnsi="Calibri"/>
        </w:rPr>
        <w:t xml:space="preserve">la de </w:t>
      </w:r>
      <w:r w:rsidR="001C60D6" w:rsidRPr="00AE677F">
        <w:rPr>
          <w:rFonts w:ascii="Calibri" w:hAnsi="Calibri"/>
        </w:rPr>
        <w:t xml:space="preserve">100 </w:t>
      </w:r>
      <w:r>
        <w:rPr>
          <w:rFonts w:ascii="Calibri" w:hAnsi="Calibri"/>
        </w:rPr>
        <w:t>de mayor</w:t>
      </w:r>
      <w:r w:rsidR="00DB1746">
        <w:rPr>
          <w:rFonts w:ascii="Calibri" w:hAnsi="Calibri"/>
        </w:rPr>
        <w:t xml:space="preserve"> transparen</w:t>
      </w:r>
      <w:r>
        <w:rPr>
          <w:rFonts w:ascii="Calibri" w:hAnsi="Calibri"/>
        </w:rPr>
        <w:t>cia</w:t>
      </w:r>
      <w:r w:rsidR="001C60D6" w:rsidRPr="00AE677F">
        <w:rPr>
          <w:rFonts w:ascii="Calibri" w:hAnsi="Calibri"/>
        </w:rPr>
        <w:t>.</w:t>
      </w:r>
    </w:p>
    <w:p w14:paraId="647FFB64" w14:textId="07C0F6D9" w:rsidR="00DB4D45" w:rsidRPr="00DB4D45" w:rsidRDefault="00DB4D45" w:rsidP="00DB4D45">
      <w:pPr>
        <w:pStyle w:val="Prrafodelista"/>
        <w:numPr>
          <w:ilvl w:val="0"/>
          <w:numId w:val="1"/>
        </w:numPr>
        <w:rPr>
          <w:rFonts w:ascii="Calibri" w:hAnsi="Calibri"/>
        </w:rPr>
      </w:pPr>
      <w:r w:rsidRPr="00AE677F">
        <w:rPr>
          <w:rFonts w:ascii="Calibri" w:hAnsi="Calibri"/>
        </w:rPr>
        <w:t>De 180 países, Bolivia se sitúa en el puesto 1</w:t>
      </w:r>
      <w:r>
        <w:rPr>
          <w:rFonts w:ascii="Calibri" w:hAnsi="Calibri"/>
        </w:rPr>
        <w:t>2</w:t>
      </w:r>
      <w:r w:rsidR="00571BD4">
        <w:rPr>
          <w:rFonts w:ascii="Calibri" w:hAnsi="Calibri"/>
        </w:rPr>
        <w:t>8</w:t>
      </w:r>
      <w:r>
        <w:rPr>
          <w:rFonts w:ascii="Calibri" w:hAnsi="Calibri"/>
        </w:rPr>
        <w:t xml:space="preserve"> en el ranking de TI 202</w:t>
      </w:r>
      <w:r w:rsidR="00571BD4">
        <w:rPr>
          <w:rFonts w:ascii="Calibri" w:hAnsi="Calibri"/>
        </w:rPr>
        <w:t>1</w:t>
      </w:r>
      <w:r>
        <w:rPr>
          <w:rFonts w:ascii="Calibri" w:hAnsi="Calibri"/>
        </w:rPr>
        <w:t>.</w:t>
      </w:r>
      <w:r w:rsidRPr="00AE677F">
        <w:rPr>
          <w:rFonts w:ascii="Calibri" w:hAnsi="Calibri"/>
          <w:noProof/>
          <w:lang w:eastAsia="es-ES_tradnl"/>
        </w:rPr>
        <w:t xml:space="preserve"> </w:t>
      </w:r>
    </w:p>
    <w:p w14:paraId="1E107C10" w14:textId="45B7E432" w:rsidR="001C60D6" w:rsidRDefault="000B0957" w:rsidP="00711B34">
      <w:pPr>
        <w:pStyle w:val="Prrafodelista"/>
        <w:numPr>
          <w:ilvl w:val="0"/>
          <w:numId w:val="1"/>
        </w:numPr>
        <w:jc w:val="both"/>
        <w:rPr>
          <w:rFonts w:ascii="Calibri" w:hAnsi="Calibri"/>
        </w:rPr>
      </w:pPr>
      <w:r>
        <w:rPr>
          <w:rFonts w:ascii="Calibri" w:hAnsi="Calibri"/>
        </w:rPr>
        <w:t>El año</w:t>
      </w:r>
      <w:r w:rsidR="00571BD4">
        <w:rPr>
          <w:rFonts w:ascii="Calibri" w:hAnsi="Calibri"/>
        </w:rPr>
        <w:t xml:space="preserve"> 2020 calificó 31/100 </w:t>
      </w:r>
      <w:r>
        <w:rPr>
          <w:rFonts w:ascii="Calibri" w:hAnsi="Calibri"/>
        </w:rPr>
        <w:t xml:space="preserve">puntos </w:t>
      </w:r>
      <w:r w:rsidR="00571BD4">
        <w:rPr>
          <w:rFonts w:ascii="Calibri" w:hAnsi="Calibri"/>
        </w:rPr>
        <w:t>y ocupó el puesto 124</w:t>
      </w:r>
      <w:r w:rsidR="002B16A3">
        <w:rPr>
          <w:rFonts w:ascii="Calibri" w:hAnsi="Calibri"/>
        </w:rPr>
        <w:t>.</w:t>
      </w:r>
    </w:p>
    <w:p w14:paraId="3234D3DC" w14:textId="2923705F" w:rsidR="00571BD4" w:rsidRPr="00571BD4" w:rsidRDefault="00571BD4" w:rsidP="00571BD4">
      <w:pPr>
        <w:pStyle w:val="Prrafodelista"/>
        <w:numPr>
          <w:ilvl w:val="0"/>
          <w:numId w:val="1"/>
        </w:numPr>
        <w:spacing w:after="0"/>
        <w:rPr>
          <w:rFonts w:ascii="Calibri" w:hAnsi="Calibri"/>
        </w:rPr>
      </w:pPr>
      <w:r>
        <w:rPr>
          <w:rFonts w:ascii="Calibri" w:hAnsi="Calibri"/>
        </w:rPr>
        <w:t xml:space="preserve">TI advierte que </w:t>
      </w:r>
      <w:r w:rsidR="000B0957">
        <w:rPr>
          <w:rFonts w:ascii="Calibri" w:hAnsi="Calibri"/>
        </w:rPr>
        <w:t xml:space="preserve">al </w:t>
      </w:r>
      <w:r w:rsidRPr="00571BD4">
        <w:rPr>
          <w:rFonts w:ascii="Calibri" w:hAnsi="Calibri"/>
        </w:rPr>
        <w:t>erosiona</w:t>
      </w:r>
      <w:r w:rsidR="000B0957">
        <w:rPr>
          <w:rFonts w:ascii="Calibri" w:hAnsi="Calibri"/>
        </w:rPr>
        <w:t>r</w:t>
      </w:r>
      <w:r w:rsidRPr="00571BD4">
        <w:rPr>
          <w:rFonts w:ascii="Calibri" w:hAnsi="Calibri"/>
        </w:rPr>
        <w:t xml:space="preserve"> derechos y libertades </w:t>
      </w:r>
      <w:r w:rsidR="000B0957">
        <w:rPr>
          <w:rFonts w:ascii="Calibri" w:hAnsi="Calibri"/>
        </w:rPr>
        <w:t xml:space="preserve">se </w:t>
      </w:r>
      <w:r w:rsidRPr="00571BD4">
        <w:rPr>
          <w:rFonts w:ascii="Calibri" w:hAnsi="Calibri"/>
        </w:rPr>
        <w:t xml:space="preserve">debilita la democracia, </w:t>
      </w:r>
      <w:r w:rsidR="000B0957">
        <w:rPr>
          <w:rFonts w:ascii="Calibri" w:hAnsi="Calibri"/>
        </w:rPr>
        <w:t xml:space="preserve">avanza </w:t>
      </w:r>
      <w:r w:rsidRPr="00571BD4">
        <w:rPr>
          <w:rFonts w:ascii="Calibri" w:hAnsi="Calibri"/>
        </w:rPr>
        <w:t xml:space="preserve">el autoritarismo </w:t>
      </w:r>
      <w:r w:rsidR="000B0957">
        <w:rPr>
          <w:rFonts w:ascii="Calibri" w:hAnsi="Calibri"/>
        </w:rPr>
        <w:t>y</w:t>
      </w:r>
      <w:r w:rsidRPr="00571BD4">
        <w:rPr>
          <w:rFonts w:ascii="Calibri" w:hAnsi="Calibri"/>
        </w:rPr>
        <w:t xml:space="preserve"> aumenta la corrupción. </w:t>
      </w:r>
    </w:p>
    <w:p w14:paraId="5C381353" w14:textId="77777777" w:rsidR="008B1CD4" w:rsidRDefault="008B1CD4" w:rsidP="0072754C">
      <w:pPr>
        <w:jc w:val="both"/>
        <w:rPr>
          <w:rFonts w:ascii="Calibri" w:hAnsi="Calibri"/>
        </w:rPr>
      </w:pPr>
    </w:p>
    <w:p w14:paraId="3065C504" w14:textId="4E40C389" w:rsidR="008B1CD4" w:rsidRDefault="008B1CD4" w:rsidP="0072754C">
      <w:pPr>
        <w:jc w:val="both"/>
        <w:rPr>
          <w:rFonts w:ascii="Calibri" w:hAnsi="Calibri"/>
        </w:rPr>
      </w:pPr>
      <w:r>
        <w:rPr>
          <w:rFonts w:ascii="Calibri" w:hAnsi="Calibri"/>
        </w:rPr>
        <w:t>Con una calificación de 30 puntos sobre 100, Bolivia continúa entre los países de mayor percepción de la corrupción</w:t>
      </w:r>
      <w:r w:rsidR="000B0957">
        <w:rPr>
          <w:rFonts w:ascii="Calibri" w:hAnsi="Calibri"/>
        </w:rPr>
        <w:t xml:space="preserve"> en el mundo</w:t>
      </w:r>
      <w:r>
        <w:rPr>
          <w:rFonts w:ascii="Calibri" w:hAnsi="Calibri"/>
        </w:rPr>
        <w:t xml:space="preserve">. Los países más cercanos </w:t>
      </w:r>
      <w:r w:rsidR="00055304">
        <w:rPr>
          <w:rFonts w:ascii="Calibri" w:hAnsi="Calibri"/>
        </w:rPr>
        <w:t xml:space="preserve">a cero </w:t>
      </w:r>
      <w:r w:rsidR="00055304">
        <w:rPr>
          <w:rFonts w:ascii="Calibri" w:hAnsi="Calibri"/>
        </w:rPr>
        <w:t xml:space="preserve">son </w:t>
      </w:r>
      <w:r w:rsidR="00055304">
        <w:rPr>
          <w:rFonts w:ascii="Calibri" w:hAnsi="Calibri"/>
        </w:rPr>
        <w:t>más proclives a la corrupción</w:t>
      </w:r>
      <w:r w:rsidR="00055304">
        <w:rPr>
          <w:rFonts w:ascii="Calibri" w:hAnsi="Calibri"/>
        </w:rPr>
        <w:t xml:space="preserve"> </w:t>
      </w:r>
      <w:r w:rsidR="00055304">
        <w:rPr>
          <w:rFonts w:ascii="Calibri" w:hAnsi="Calibri"/>
        </w:rPr>
        <w:t>y los más cercanos</w:t>
      </w:r>
      <w:r w:rsidR="00055304">
        <w:rPr>
          <w:rFonts w:ascii="Calibri" w:hAnsi="Calibri"/>
        </w:rPr>
        <w:t xml:space="preserve"> </w:t>
      </w:r>
      <w:r>
        <w:rPr>
          <w:rFonts w:ascii="Calibri" w:hAnsi="Calibri"/>
        </w:rPr>
        <w:t>a 100 son los más transparentes.</w:t>
      </w:r>
    </w:p>
    <w:p w14:paraId="0F9F84DB" w14:textId="307BB216" w:rsidR="008B1CD4" w:rsidRDefault="00AE677F" w:rsidP="0072754C">
      <w:pPr>
        <w:jc w:val="both"/>
        <w:rPr>
          <w:rFonts w:ascii="Calibri" w:hAnsi="Calibri"/>
        </w:rPr>
      </w:pPr>
      <w:r w:rsidRPr="00AE677F">
        <w:rPr>
          <w:rFonts w:ascii="Calibri" w:hAnsi="Calibri"/>
        </w:rPr>
        <w:t>El Índice de Percepción de Corrupción IPC 20</w:t>
      </w:r>
      <w:r w:rsidR="002B16A3">
        <w:rPr>
          <w:rFonts w:ascii="Calibri" w:hAnsi="Calibri"/>
        </w:rPr>
        <w:t>2</w:t>
      </w:r>
      <w:r w:rsidR="00571BD4">
        <w:rPr>
          <w:rFonts w:ascii="Calibri" w:hAnsi="Calibri"/>
        </w:rPr>
        <w:t>1</w:t>
      </w:r>
      <w:r w:rsidRPr="00AE677F">
        <w:rPr>
          <w:rFonts w:ascii="Calibri" w:hAnsi="Calibri"/>
        </w:rPr>
        <w:t>, elaborado por Transpar</w:t>
      </w:r>
      <w:r w:rsidR="00F11736">
        <w:rPr>
          <w:rFonts w:ascii="Calibri" w:hAnsi="Calibri"/>
        </w:rPr>
        <w:t xml:space="preserve">encia Internacional (TI), </w:t>
      </w:r>
      <w:r w:rsidR="008B1CD4">
        <w:rPr>
          <w:rFonts w:ascii="Calibri" w:hAnsi="Calibri"/>
        </w:rPr>
        <w:t>examinó a</w:t>
      </w:r>
      <w:r w:rsidRPr="00AE677F">
        <w:rPr>
          <w:rFonts w:ascii="Calibri" w:hAnsi="Calibri"/>
        </w:rPr>
        <w:t xml:space="preserve"> 180 países </w:t>
      </w:r>
      <w:r w:rsidR="008B1CD4">
        <w:rPr>
          <w:rFonts w:ascii="Calibri" w:hAnsi="Calibri"/>
        </w:rPr>
        <w:t>de los diversos continentes</w:t>
      </w:r>
      <w:r w:rsidR="000B0957">
        <w:rPr>
          <w:rFonts w:ascii="Calibri" w:hAnsi="Calibri"/>
        </w:rPr>
        <w:t xml:space="preserve">. </w:t>
      </w:r>
      <w:r w:rsidR="000B0957" w:rsidRPr="000B0957">
        <w:rPr>
          <w:rFonts w:ascii="Calibri" w:hAnsi="Calibri"/>
        </w:rPr>
        <w:t xml:space="preserve">Desde su creación en 1995, el </w:t>
      </w:r>
      <w:r w:rsidR="000B0957" w:rsidRPr="000B0957">
        <w:rPr>
          <w:rFonts w:ascii="Calibri" w:hAnsi="Calibri"/>
        </w:rPr>
        <w:t>IPC</w:t>
      </w:r>
      <w:r w:rsidR="000B0957" w:rsidRPr="000B0957">
        <w:rPr>
          <w:rFonts w:ascii="Calibri" w:hAnsi="Calibri"/>
        </w:rPr>
        <w:t xml:space="preserve"> </w:t>
      </w:r>
      <w:r w:rsidR="0094471F">
        <w:rPr>
          <w:rFonts w:ascii="Calibri" w:hAnsi="Calibri"/>
        </w:rPr>
        <w:t>es</w:t>
      </w:r>
      <w:r w:rsidR="000B0957" w:rsidRPr="000B0957">
        <w:rPr>
          <w:rFonts w:ascii="Calibri" w:hAnsi="Calibri"/>
        </w:rPr>
        <w:t xml:space="preserve"> el principal indicador global de la corrupción en el sector público</w:t>
      </w:r>
      <w:r w:rsidR="000B0957" w:rsidRPr="000B0957">
        <w:rPr>
          <w:rFonts w:ascii="Calibri" w:hAnsi="Calibri"/>
        </w:rPr>
        <w:t>.</w:t>
      </w:r>
    </w:p>
    <w:p w14:paraId="41A07916" w14:textId="19F44DA1" w:rsidR="008B1CD4" w:rsidRDefault="000B0957" w:rsidP="0072754C">
      <w:pPr>
        <w:jc w:val="both"/>
        <w:rPr>
          <w:rFonts w:ascii="Calibri" w:hAnsi="Calibri"/>
        </w:rPr>
      </w:pPr>
      <w:r>
        <w:rPr>
          <w:rFonts w:ascii="Calibri" w:hAnsi="Calibri"/>
        </w:rPr>
        <w:t>Para</w:t>
      </w:r>
      <w:r w:rsidR="008B1CD4">
        <w:rPr>
          <w:rFonts w:ascii="Calibri" w:hAnsi="Calibri"/>
        </w:rPr>
        <w:t xml:space="preserve"> la gestión 2021, Bolivia obtuvo </w:t>
      </w:r>
      <w:r>
        <w:rPr>
          <w:rFonts w:ascii="Calibri" w:hAnsi="Calibri"/>
        </w:rPr>
        <w:t xml:space="preserve">un puntaje de </w:t>
      </w:r>
      <w:r w:rsidR="008B1CD4">
        <w:rPr>
          <w:rFonts w:ascii="Calibri" w:hAnsi="Calibri"/>
        </w:rPr>
        <w:t xml:space="preserve">30 </w:t>
      </w:r>
      <w:r>
        <w:rPr>
          <w:rFonts w:ascii="Calibri" w:hAnsi="Calibri"/>
        </w:rPr>
        <w:t>sobre 100</w:t>
      </w:r>
      <w:r w:rsidR="008B1CD4">
        <w:rPr>
          <w:rFonts w:ascii="Calibri" w:hAnsi="Calibri"/>
        </w:rPr>
        <w:t xml:space="preserve">, lo que implica que bajó otro punto en la calificación respecto al año 2020, cuando </w:t>
      </w:r>
      <w:r w:rsidR="00055304">
        <w:rPr>
          <w:rFonts w:ascii="Calibri" w:hAnsi="Calibri"/>
        </w:rPr>
        <w:t>obtuvo</w:t>
      </w:r>
      <w:r w:rsidR="008B1CD4">
        <w:rPr>
          <w:rFonts w:ascii="Calibri" w:hAnsi="Calibri"/>
        </w:rPr>
        <w:t xml:space="preserve"> 31 sobre 100.</w:t>
      </w:r>
    </w:p>
    <w:p w14:paraId="6650916A" w14:textId="4AA0A643" w:rsidR="008B1CD4" w:rsidRDefault="008B1CD4" w:rsidP="0072754C">
      <w:pPr>
        <w:jc w:val="both"/>
        <w:rPr>
          <w:rFonts w:ascii="Calibri" w:hAnsi="Calibri"/>
        </w:rPr>
      </w:pPr>
      <w:r>
        <w:rPr>
          <w:rFonts w:ascii="Calibri" w:hAnsi="Calibri"/>
        </w:rPr>
        <w:t>Respecto a la ubicación en el ranking</w:t>
      </w:r>
      <w:r w:rsidR="0094471F">
        <w:rPr>
          <w:rFonts w:ascii="Calibri" w:hAnsi="Calibri"/>
        </w:rPr>
        <w:t xml:space="preserve"> de transparencia</w:t>
      </w:r>
      <w:r>
        <w:rPr>
          <w:rFonts w:ascii="Calibri" w:hAnsi="Calibri"/>
        </w:rPr>
        <w:t xml:space="preserve">, se sitúa en el puesto </w:t>
      </w:r>
      <w:r w:rsidR="000B0957">
        <w:rPr>
          <w:rFonts w:ascii="Calibri" w:hAnsi="Calibri"/>
        </w:rPr>
        <w:t>128, cuatro puestos más abajo respecto a un año anterior.</w:t>
      </w:r>
    </w:p>
    <w:p w14:paraId="34CD47D9" w14:textId="76D133DC" w:rsidR="000B0957" w:rsidRDefault="000B0957" w:rsidP="0047117E">
      <w:pPr>
        <w:jc w:val="both"/>
        <w:rPr>
          <w:rFonts w:ascii="Calibri" w:hAnsi="Calibri"/>
        </w:rPr>
      </w:pPr>
      <w:r>
        <w:rPr>
          <w:rFonts w:ascii="Calibri" w:hAnsi="Calibri"/>
          <w:noProof/>
        </w:rPr>
        <w:drawing>
          <wp:inline distT="0" distB="0" distL="0" distR="0" wp14:anchorId="52BF8052" wp14:editId="1C2ABDEF">
            <wp:extent cx="5396230" cy="2696845"/>
            <wp:effectExtent l="0" t="0" r="127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a de Pantalla 2022-01-25 a la(s) 18.04.15.png"/>
                    <pic:cNvPicPr/>
                  </pic:nvPicPr>
                  <pic:blipFill>
                    <a:blip r:embed="rId6"/>
                    <a:stretch>
                      <a:fillRect/>
                    </a:stretch>
                  </pic:blipFill>
                  <pic:spPr>
                    <a:xfrm>
                      <a:off x="0" y="0"/>
                      <a:ext cx="5396230" cy="2696845"/>
                    </a:xfrm>
                    <a:prstGeom prst="rect">
                      <a:avLst/>
                    </a:prstGeom>
                  </pic:spPr>
                </pic:pic>
              </a:graphicData>
            </a:graphic>
          </wp:inline>
        </w:drawing>
      </w:r>
    </w:p>
    <w:p w14:paraId="304D72C1" w14:textId="26382D2F" w:rsidR="000B0957" w:rsidRDefault="000B0957" w:rsidP="0047117E">
      <w:pPr>
        <w:jc w:val="both"/>
        <w:rPr>
          <w:rFonts w:ascii="Calibri" w:hAnsi="Calibri"/>
        </w:rPr>
      </w:pPr>
    </w:p>
    <w:p w14:paraId="7585C594" w14:textId="4C3FC9A4" w:rsidR="00B45305" w:rsidRDefault="00B45305" w:rsidP="0047117E">
      <w:pPr>
        <w:jc w:val="both"/>
        <w:rPr>
          <w:rFonts w:ascii="Calibri" w:hAnsi="Calibri"/>
          <w:color w:val="000000" w:themeColor="text1"/>
        </w:rPr>
      </w:pPr>
      <w:r>
        <w:rPr>
          <w:rFonts w:ascii="Calibri" w:hAnsi="Calibri"/>
          <w:color w:val="000000" w:themeColor="text1"/>
        </w:rPr>
        <w:lastRenderedPageBreak/>
        <w:t>Bolivia es el tercer país sudamericano con mayor percepción de corrupción. Paraguay tiene una calificación similar de 30 puntos y Venezuela 14.</w:t>
      </w:r>
    </w:p>
    <w:p w14:paraId="46276933" w14:textId="65B05796" w:rsidR="00B45305" w:rsidRDefault="00B45305" w:rsidP="0047117E">
      <w:pPr>
        <w:jc w:val="both"/>
        <w:rPr>
          <w:rFonts w:ascii="Calibri" w:hAnsi="Calibri"/>
          <w:color w:val="000000" w:themeColor="text1"/>
        </w:rPr>
      </w:pPr>
      <w:r>
        <w:rPr>
          <w:rFonts w:ascii="Calibri" w:hAnsi="Calibri"/>
          <w:color w:val="000000" w:themeColor="text1"/>
        </w:rPr>
        <w:t>Contrariamente, Uruguay sigue siendo el país sudamericano más cercano a la transparencia, con un puntaje de 73/100, por el que ocupa el puesto 18 entre los mejor</w:t>
      </w:r>
      <w:r w:rsidR="0094471F">
        <w:rPr>
          <w:rFonts w:ascii="Calibri" w:hAnsi="Calibri"/>
          <w:color w:val="000000" w:themeColor="text1"/>
        </w:rPr>
        <w:t>es</w:t>
      </w:r>
      <w:r>
        <w:rPr>
          <w:rFonts w:ascii="Calibri" w:hAnsi="Calibri"/>
          <w:color w:val="000000" w:themeColor="text1"/>
        </w:rPr>
        <w:t xml:space="preserve"> calificados del mundo.</w:t>
      </w:r>
    </w:p>
    <w:p w14:paraId="2DAD15A1" w14:textId="12CF824C" w:rsidR="00531293" w:rsidRDefault="00531293" w:rsidP="0047117E">
      <w:pPr>
        <w:jc w:val="both"/>
        <w:rPr>
          <w:rFonts w:ascii="Calibri" w:hAnsi="Calibri"/>
          <w:color w:val="000000" w:themeColor="text1"/>
        </w:rPr>
      </w:pPr>
      <w:r>
        <w:rPr>
          <w:rFonts w:ascii="Calibri" w:hAnsi="Calibri"/>
          <w:color w:val="000000" w:themeColor="text1"/>
        </w:rPr>
        <w:t>Chile se mantuvo con 67 puntos, en el puesto 27</w:t>
      </w:r>
      <w:r w:rsidR="0094471F">
        <w:rPr>
          <w:rFonts w:ascii="Calibri" w:hAnsi="Calibri"/>
          <w:color w:val="000000" w:themeColor="text1"/>
        </w:rPr>
        <w:t>;</w:t>
      </w:r>
      <w:r>
        <w:rPr>
          <w:rFonts w:ascii="Calibri" w:hAnsi="Calibri"/>
          <w:color w:val="000000" w:themeColor="text1"/>
        </w:rPr>
        <w:t xml:space="preserve"> </w:t>
      </w:r>
      <w:r w:rsidR="0045397C">
        <w:rPr>
          <w:rFonts w:ascii="Calibri" w:hAnsi="Calibri"/>
          <w:color w:val="000000" w:themeColor="text1"/>
        </w:rPr>
        <w:t xml:space="preserve">Colombia calificó 39, en el puesto 87; </w:t>
      </w:r>
      <w:r>
        <w:rPr>
          <w:rFonts w:ascii="Calibri" w:hAnsi="Calibri"/>
          <w:color w:val="000000" w:themeColor="text1"/>
        </w:rPr>
        <w:t>en tanto que Argentina bajó su puntaje a 38, con el que ocupa el puesto 96.</w:t>
      </w:r>
    </w:p>
    <w:p w14:paraId="18A91BAC" w14:textId="1D021085" w:rsidR="00B17E7E" w:rsidRPr="00531293" w:rsidRDefault="00B45305" w:rsidP="0047117E">
      <w:pPr>
        <w:jc w:val="both"/>
        <w:rPr>
          <w:rFonts w:ascii="Calibri" w:hAnsi="Calibri"/>
          <w:color w:val="000000" w:themeColor="text1"/>
        </w:rPr>
      </w:pPr>
      <w:r>
        <w:rPr>
          <w:rFonts w:ascii="Calibri" w:hAnsi="Calibri"/>
          <w:noProof/>
          <w:color w:val="000000" w:themeColor="text1"/>
        </w:rPr>
        <mc:AlternateContent>
          <mc:Choice Requires="wps">
            <w:drawing>
              <wp:anchor distT="0" distB="0" distL="114300" distR="114300" simplePos="0" relativeHeight="251659264" behindDoc="0" locked="0" layoutInCell="1" allowOverlap="1" wp14:anchorId="76A05097" wp14:editId="5CA54B1F">
                <wp:simplePos x="0" y="0"/>
                <wp:positionH relativeFrom="column">
                  <wp:posOffset>1454876</wp:posOffset>
                </wp:positionH>
                <wp:positionV relativeFrom="paragraph">
                  <wp:posOffset>1940288</wp:posOffset>
                </wp:positionV>
                <wp:extent cx="861332" cy="191861"/>
                <wp:effectExtent l="0" t="0" r="15240" b="11430"/>
                <wp:wrapNone/>
                <wp:docPr id="7" name="Elipse 7"/>
                <wp:cNvGraphicFramePr/>
                <a:graphic xmlns:a="http://schemas.openxmlformats.org/drawingml/2006/main">
                  <a:graphicData uri="http://schemas.microsoft.com/office/word/2010/wordprocessingShape">
                    <wps:wsp>
                      <wps:cNvSpPr/>
                      <wps:spPr>
                        <a:xfrm>
                          <a:off x="0" y="0"/>
                          <a:ext cx="861332" cy="191861"/>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D389B0E" id="Elipse 7" o:spid="_x0000_s1026" style="position:absolute;margin-left:114.55pt;margin-top:152.8pt;width:67.8pt;height:15.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" filled="f" strokecolor="#1f3763 [1604]" strokeweight="1pt">
                <v:stroke joinstyle="miter"/>
              </v:oval>
            </w:pict>
          </mc:Fallback>
        </mc:AlternateContent>
      </w:r>
      <w:r>
        <w:rPr>
          <w:rFonts w:ascii="Calibri" w:hAnsi="Calibri"/>
          <w:noProof/>
          <w:color w:val="000000" w:themeColor="text1"/>
        </w:rPr>
        <w:drawing>
          <wp:inline distT="0" distB="0" distL="0" distR="0" wp14:anchorId="3C7F2CB6" wp14:editId="0B5D273E">
            <wp:extent cx="5396230" cy="3148330"/>
            <wp:effectExtent l="0" t="0" r="1270" b="127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aptura de Pantalla 2022-01-25 a la(s) 18.12.31.png"/>
                    <pic:cNvPicPr/>
                  </pic:nvPicPr>
                  <pic:blipFill>
                    <a:blip r:embed="rId7"/>
                    <a:stretch>
                      <a:fillRect/>
                    </a:stretch>
                  </pic:blipFill>
                  <pic:spPr>
                    <a:xfrm>
                      <a:off x="0" y="0"/>
                      <a:ext cx="5396230" cy="3148330"/>
                    </a:xfrm>
                    <a:prstGeom prst="rect">
                      <a:avLst/>
                    </a:prstGeom>
                  </pic:spPr>
                </pic:pic>
              </a:graphicData>
            </a:graphic>
          </wp:inline>
        </w:drawing>
      </w:r>
    </w:p>
    <w:p w14:paraId="787916FE" w14:textId="77777777" w:rsidR="00531293" w:rsidRPr="00531293" w:rsidRDefault="00B17E7E" w:rsidP="0047117E">
      <w:pPr>
        <w:spacing w:after="0"/>
        <w:jc w:val="both"/>
        <w:rPr>
          <w:rFonts w:ascii="Calibri" w:hAnsi="Calibri"/>
          <w:color w:val="000000" w:themeColor="text1"/>
        </w:rPr>
      </w:pPr>
      <w:r w:rsidRPr="00B17E7E">
        <w:rPr>
          <w:rFonts w:ascii="Calibri" w:hAnsi="Calibri"/>
          <w:color w:val="000000" w:themeColor="text1"/>
        </w:rPr>
        <w:t xml:space="preserve">Transparencia Internacional identificó que los países que vulneran las libertades civiles obtienen de forma consistente puntuaciones más bajas en el índice. </w:t>
      </w:r>
    </w:p>
    <w:p w14:paraId="78AC80DC" w14:textId="77777777" w:rsidR="00531293" w:rsidRPr="00531293" w:rsidRDefault="00531293" w:rsidP="0047117E">
      <w:pPr>
        <w:spacing w:after="0"/>
        <w:jc w:val="both"/>
        <w:rPr>
          <w:rFonts w:ascii="Calibri" w:hAnsi="Calibri"/>
          <w:color w:val="000000" w:themeColor="text1"/>
        </w:rPr>
      </w:pPr>
    </w:p>
    <w:p w14:paraId="3D7F0554" w14:textId="2982E79C" w:rsidR="00D81DDB" w:rsidRPr="00D81DDB" w:rsidRDefault="00B17E7E" w:rsidP="0047117E">
      <w:pPr>
        <w:spacing w:after="0"/>
        <w:jc w:val="both"/>
        <w:rPr>
          <w:rFonts w:ascii="Calibri" w:hAnsi="Calibri"/>
          <w:color w:val="000000" w:themeColor="text1"/>
        </w:rPr>
      </w:pPr>
      <w:r w:rsidRPr="00B17E7E">
        <w:rPr>
          <w:rFonts w:ascii="Calibri" w:hAnsi="Calibri"/>
          <w:color w:val="000000" w:themeColor="text1"/>
        </w:rPr>
        <w:t>La complacencia en la lucha contra la corrupción da pie a violaciones de derechos humanos de mayor gravedad y socava la democracia, detonando así una espiral viciosa. Conforme se erosionan los derechos y libertades y se debilita la democracia, el autoritarismo avanza, lo cual contribuye a aumentar aún más la corrupción.</w:t>
      </w:r>
    </w:p>
    <w:p w14:paraId="4CFC3BA9" w14:textId="5932A7C9" w:rsidR="00D81DDB" w:rsidRDefault="00D81DDB" w:rsidP="0047117E">
      <w:pPr>
        <w:pStyle w:val="NormalWeb"/>
        <w:jc w:val="both"/>
      </w:pPr>
      <w:r>
        <w:rPr>
          <w:rStyle w:val="nfasis"/>
        </w:rPr>
        <w:t>«Los derechos humanos son más que algo deseable en la lucha contra la corrupción. Los modelos autoritarios destruyen los controles y contrapesos independientes y hacen que tomar acción contra la corrupción dependa de los caprichos de una élite. La única ruta sostenible hacia una sociedad libre de corrupción es asegurar que la población tenga la posibilidad de hablar libremente y trabajar colectivamente para pedir cuentas a aquellos en el poder»</w:t>
      </w:r>
      <w:r>
        <w:rPr>
          <w:rStyle w:val="nfasis"/>
        </w:rPr>
        <w:t>, declaró</w:t>
      </w:r>
      <w:r w:rsidRPr="00D81DDB">
        <w:rPr>
          <w:rStyle w:val="nfasis"/>
        </w:rPr>
        <w:t xml:space="preserve"> </w:t>
      </w:r>
      <w:r>
        <w:rPr>
          <w:rStyle w:val="nfasis"/>
        </w:rPr>
        <w:t>Delia Ferreira Rubio, presidenta de Transparencia Internacional</w:t>
      </w:r>
      <w:r>
        <w:rPr>
          <w:rStyle w:val="nfasis"/>
        </w:rPr>
        <w:t>.</w:t>
      </w:r>
    </w:p>
    <w:p w14:paraId="359750B7" w14:textId="6C43C146" w:rsidR="00B17E7E" w:rsidRPr="00B17E7E" w:rsidRDefault="00B17E7E" w:rsidP="00B17E7E">
      <w:pPr>
        <w:spacing w:after="0"/>
        <w:rPr>
          <w:rFonts w:ascii="Calibri" w:hAnsi="Calibri"/>
          <w:color w:val="000000" w:themeColor="text1"/>
        </w:rPr>
      </w:pPr>
      <w:r w:rsidRPr="00B17E7E">
        <w:rPr>
          <w:rFonts w:ascii="Calibri" w:hAnsi="Calibri"/>
          <w:color w:val="000000" w:themeColor="text1"/>
        </w:rPr>
        <w:t xml:space="preserve"> </w:t>
      </w:r>
    </w:p>
    <w:p w14:paraId="0A04A977" w14:textId="09004F48" w:rsidR="00B17E7E" w:rsidRDefault="00B17E7E" w:rsidP="00AE677F">
      <w:pPr>
        <w:rPr>
          <w:rFonts w:ascii="Calibri" w:hAnsi="Calibri"/>
          <w:i/>
          <w:sz w:val="16"/>
          <w:szCs w:val="16"/>
          <w:lang w:val="es-BO"/>
        </w:rPr>
      </w:pPr>
    </w:p>
    <w:p w14:paraId="73406E91" w14:textId="77777777" w:rsidR="00531293" w:rsidRDefault="00531293" w:rsidP="00531293">
      <w:pPr>
        <w:pBdr>
          <w:bottom w:val="single" w:sz="6" w:space="1" w:color="auto"/>
        </w:pBdr>
        <w:rPr>
          <w:rFonts w:ascii="Calibri" w:hAnsi="Calibri"/>
          <w:i/>
          <w:sz w:val="16"/>
          <w:szCs w:val="16"/>
        </w:rPr>
      </w:pPr>
      <w:r w:rsidRPr="00AE677F">
        <w:rPr>
          <w:rFonts w:ascii="Calibri" w:hAnsi="Calibri"/>
          <w:i/>
          <w:sz w:val="16"/>
          <w:szCs w:val="16"/>
        </w:rPr>
        <w:t>2</w:t>
      </w:r>
      <w:r>
        <w:rPr>
          <w:rFonts w:ascii="Calibri" w:hAnsi="Calibri"/>
          <w:i/>
          <w:sz w:val="16"/>
          <w:szCs w:val="16"/>
        </w:rPr>
        <w:t>5</w:t>
      </w:r>
      <w:r w:rsidRPr="00AE677F">
        <w:rPr>
          <w:rFonts w:ascii="Calibri" w:hAnsi="Calibri"/>
          <w:i/>
          <w:sz w:val="16"/>
          <w:szCs w:val="16"/>
        </w:rPr>
        <w:t xml:space="preserve"> de enero</w:t>
      </w:r>
      <w:r>
        <w:rPr>
          <w:rFonts w:ascii="Calibri" w:hAnsi="Calibri"/>
          <w:i/>
          <w:sz w:val="16"/>
          <w:szCs w:val="16"/>
        </w:rPr>
        <w:t xml:space="preserve"> de</w:t>
      </w:r>
      <w:r w:rsidRPr="00AE677F">
        <w:rPr>
          <w:rFonts w:ascii="Calibri" w:hAnsi="Calibri"/>
          <w:i/>
          <w:sz w:val="16"/>
          <w:szCs w:val="16"/>
        </w:rPr>
        <w:t xml:space="preserve"> 20</w:t>
      </w:r>
      <w:r>
        <w:rPr>
          <w:rFonts w:ascii="Calibri" w:hAnsi="Calibri"/>
          <w:i/>
          <w:sz w:val="16"/>
          <w:szCs w:val="16"/>
        </w:rPr>
        <w:t>21</w:t>
      </w:r>
    </w:p>
    <w:p w14:paraId="6BEE259D" w14:textId="77777777" w:rsidR="00B17E7E" w:rsidRPr="00B17E7E" w:rsidRDefault="00B17E7E" w:rsidP="00AE677F">
      <w:pPr>
        <w:rPr>
          <w:rFonts w:ascii="Calibri" w:hAnsi="Calibri"/>
          <w:i/>
          <w:sz w:val="16"/>
          <w:szCs w:val="16"/>
          <w:lang w:val="es-BO"/>
        </w:rPr>
      </w:pPr>
    </w:p>
    <w:sectPr w:rsidR="00B17E7E" w:rsidRPr="00B17E7E" w:rsidSect="001C75BE">
      <w:pgSz w:w="11900" w:h="16840"/>
      <w:pgMar w:top="1417" w:right="1701" w:bottom="1417" w:left="170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CE3583"/>
    <w:multiLevelType w:val="hybridMultilevel"/>
    <w:tmpl w:val="5C9436EA"/>
    <w:lvl w:ilvl="0" w:tplc="427057B0">
      <w:start w:val="29"/>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4CF51FBA"/>
    <w:multiLevelType w:val="hybridMultilevel"/>
    <w:tmpl w:val="F288D854"/>
    <w:lvl w:ilvl="0" w:tplc="546C0C36">
      <w:start w:val="7"/>
      <w:numFmt w:val="bullet"/>
      <w:lvlText w:val="-"/>
      <w:lvlJc w:val="left"/>
      <w:pPr>
        <w:ind w:left="720" w:hanging="360"/>
      </w:pPr>
      <w:rPr>
        <w:rFonts w:ascii="Calibri" w:eastAsiaTheme="minorHAnsi" w:hAnsi="Calibri" w:cstheme="minorBidi" w:hint="default"/>
        <w:sz w:val="28"/>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211"/>
    <w:rsid w:val="00055304"/>
    <w:rsid w:val="000974C0"/>
    <w:rsid w:val="000B0957"/>
    <w:rsid w:val="0017078E"/>
    <w:rsid w:val="00185604"/>
    <w:rsid w:val="001949A0"/>
    <w:rsid w:val="001C60D6"/>
    <w:rsid w:val="001C75BE"/>
    <w:rsid w:val="00202620"/>
    <w:rsid w:val="00213D4D"/>
    <w:rsid w:val="00264162"/>
    <w:rsid w:val="002B16A3"/>
    <w:rsid w:val="002B7765"/>
    <w:rsid w:val="002D1D21"/>
    <w:rsid w:val="002E1EE5"/>
    <w:rsid w:val="002F1AD3"/>
    <w:rsid w:val="002F3A66"/>
    <w:rsid w:val="00323850"/>
    <w:rsid w:val="00380CB4"/>
    <w:rsid w:val="003B2D11"/>
    <w:rsid w:val="003F58B4"/>
    <w:rsid w:val="0040130B"/>
    <w:rsid w:val="004428BF"/>
    <w:rsid w:val="0045397C"/>
    <w:rsid w:val="0047117E"/>
    <w:rsid w:val="004C4AAD"/>
    <w:rsid w:val="004D003D"/>
    <w:rsid w:val="00531293"/>
    <w:rsid w:val="00535D58"/>
    <w:rsid w:val="00571BD4"/>
    <w:rsid w:val="005C37CD"/>
    <w:rsid w:val="005D1211"/>
    <w:rsid w:val="00615FC6"/>
    <w:rsid w:val="0063487A"/>
    <w:rsid w:val="006E76D7"/>
    <w:rsid w:val="007118AB"/>
    <w:rsid w:val="0072754C"/>
    <w:rsid w:val="00734DB8"/>
    <w:rsid w:val="0078785F"/>
    <w:rsid w:val="007E1D14"/>
    <w:rsid w:val="0080524A"/>
    <w:rsid w:val="00810A22"/>
    <w:rsid w:val="008439FE"/>
    <w:rsid w:val="008B1CD4"/>
    <w:rsid w:val="008F610F"/>
    <w:rsid w:val="00900762"/>
    <w:rsid w:val="0090401B"/>
    <w:rsid w:val="009047DA"/>
    <w:rsid w:val="009207FE"/>
    <w:rsid w:val="00927D03"/>
    <w:rsid w:val="0094471F"/>
    <w:rsid w:val="00955436"/>
    <w:rsid w:val="0096277C"/>
    <w:rsid w:val="009B2B28"/>
    <w:rsid w:val="00A70CDE"/>
    <w:rsid w:val="00A73D39"/>
    <w:rsid w:val="00AA1B77"/>
    <w:rsid w:val="00AE677F"/>
    <w:rsid w:val="00B0685D"/>
    <w:rsid w:val="00B17E7E"/>
    <w:rsid w:val="00B45305"/>
    <w:rsid w:val="00C068E6"/>
    <w:rsid w:val="00C23C61"/>
    <w:rsid w:val="00C562CE"/>
    <w:rsid w:val="00C65C0C"/>
    <w:rsid w:val="00CE4D48"/>
    <w:rsid w:val="00D81DDB"/>
    <w:rsid w:val="00DB1746"/>
    <w:rsid w:val="00DB4D45"/>
    <w:rsid w:val="00DE10EC"/>
    <w:rsid w:val="00DE18A6"/>
    <w:rsid w:val="00E86DFB"/>
    <w:rsid w:val="00EC0018"/>
    <w:rsid w:val="00EE14DF"/>
    <w:rsid w:val="00EE2406"/>
    <w:rsid w:val="00F11736"/>
    <w:rsid w:val="00F5786D"/>
    <w:rsid w:val="00F57BB9"/>
  </w:rsids>
  <m:mathPr>
    <m:mathFont m:val="Cambria Math"/>
    <m:brkBin m:val="before"/>
    <m:brkBinSub m:val="--"/>
    <m:smallFrac m:val="0"/>
    <m:dispDef m:val="0"/>
    <m:lMargin m:val="0"/>
    <m:rMargin m:val="0"/>
    <m:defJc m:val="centerGroup"/>
    <m:wrapRight/>
    <m:intLim m:val="subSup"/>
    <m:naryLim m:val="subSup"/>
  </m:mathPr>
  <w:themeFontLang w:val="es-ES_trad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262D89"/>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s-ES_tradnl"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079AE"/>
    <w:pPr>
      <w:spacing w:after="200"/>
    </w:pPr>
    <w:rPr>
      <w:sz w:val="24"/>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D1211"/>
    <w:pPr>
      <w:spacing w:after="0"/>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5D1211"/>
    <w:rPr>
      <w:rFonts w:ascii="Lucida Grande" w:hAnsi="Lucida Grande"/>
      <w:sz w:val="18"/>
      <w:szCs w:val="18"/>
    </w:rPr>
  </w:style>
  <w:style w:type="character" w:styleId="Hipervnculo">
    <w:name w:val="Hyperlink"/>
    <w:basedOn w:val="Fuentedeprrafopredeter"/>
    <w:uiPriority w:val="99"/>
    <w:unhideWhenUsed/>
    <w:rsid w:val="00337542"/>
    <w:rPr>
      <w:color w:val="0000FF"/>
      <w:u w:val="single"/>
    </w:rPr>
  </w:style>
  <w:style w:type="character" w:styleId="Hipervnculovisitado">
    <w:name w:val="FollowedHyperlink"/>
    <w:basedOn w:val="Fuentedeprrafopredeter"/>
    <w:uiPriority w:val="99"/>
    <w:semiHidden/>
    <w:unhideWhenUsed/>
    <w:rsid w:val="00A853CC"/>
    <w:rPr>
      <w:color w:val="800080"/>
      <w:u w:val="single"/>
    </w:rPr>
  </w:style>
  <w:style w:type="paragraph" w:styleId="Prrafodelista">
    <w:name w:val="List Paragraph"/>
    <w:basedOn w:val="Normal"/>
    <w:uiPriority w:val="34"/>
    <w:qFormat/>
    <w:rsid w:val="00AE677F"/>
    <w:pPr>
      <w:spacing w:line="276" w:lineRule="auto"/>
      <w:ind w:left="720"/>
      <w:contextualSpacing/>
    </w:pPr>
    <w:rPr>
      <w:rFonts w:asciiTheme="minorHAnsi" w:eastAsiaTheme="minorHAnsi" w:hAnsiTheme="minorHAnsi" w:cstheme="minorBidi"/>
      <w:sz w:val="22"/>
      <w:szCs w:val="22"/>
      <w:lang w:val="es-ES"/>
    </w:rPr>
  </w:style>
  <w:style w:type="paragraph" w:styleId="NormalWeb">
    <w:name w:val="Normal (Web)"/>
    <w:basedOn w:val="Normal"/>
    <w:uiPriority w:val="99"/>
    <w:semiHidden/>
    <w:unhideWhenUsed/>
    <w:rsid w:val="00B17E7E"/>
    <w:pPr>
      <w:spacing w:before="100" w:beforeAutospacing="1" w:after="100" w:afterAutospacing="1"/>
    </w:pPr>
    <w:rPr>
      <w:rFonts w:ascii="Times New Roman" w:eastAsia="Times New Roman" w:hAnsi="Times New Roman"/>
      <w:lang w:val="es-BO" w:eastAsia="es-ES_tradnl"/>
    </w:rPr>
  </w:style>
  <w:style w:type="character" w:styleId="Textoennegrita">
    <w:name w:val="Strong"/>
    <w:basedOn w:val="Fuentedeprrafopredeter"/>
    <w:uiPriority w:val="22"/>
    <w:qFormat/>
    <w:rsid w:val="00B17E7E"/>
    <w:rPr>
      <w:b/>
      <w:bCs/>
    </w:rPr>
  </w:style>
  <w:style w:type="character" w:styleId="nfasis">
    <w:name w:val="Emphasis"/>
    <w:basedOn w:val="Fuentedeprrafopredeter"/>
    <w:uiPriority w:val="20"/>
    <w:qFormat/>
    <w:rsid w:val="00D81D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807962">
      <w:bodyDiv w:val="1"/>
      <w:marLeft w:val="0"/>
      <w:marRight w:val="0"/>
      <w:marTop w:val="0"/>
      <w:marBottom w:val="0"/>
      <w:divBdr>
        <w:top w:val="none" w:sz="0" w:space="0" w:color="auto"/>
        <w:left w:val="none" w:sz="0" w:space="0" w:color="auto"/>
        <w:bottom w:val="none" w:sz="0" w:space="0" w:color="auto"/>
        <w:right w:val="none" w:sz="0" w:space="0" w:color="auto"/>
      </w:divBdr>
    </w:div>
    <w:div w:id="636036136">
      <w:bodyDiv w:val="1"/>
      <w:marLeft w:val="0"/>
      <w:marRight w:val="0"/>
      <w:marTop w:val="0"/>
      <w:marBottom w:val="0"/>
      <w:divBdr>
        <w:top w:val="none" w:sz="0" w:space="0" w:color="auto"/>
        <w:left w:val="none" w:sz="0" w:space="0" w:color="auto"/>
        <w:bottom w:val="none" w:sz="0" w:space="0" w:color="auto"/>
        <w:right w:val="none" w:sz="0" w:space="0" w:color="auto"/>
      </w:divBdr>
    </w:div>
    <w:div w:id="13511087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430</Words>
  <Characters>2369</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JUBILEO</Company>
  <LinksUpToDate>false</LinksUpToDate>
  <CharactersWithSpaces>2794</CharactersWithSpaces>
  <SharedDoc>false</SharedDoc>
  <HLinks>
    <vt:vector size="18" baseType="variant">
      <vt:variant>
        <vt:i4>5177398</vt:i4>
      </vt:variant>
      <vt:variant>
        <vt:i4>0</vt:i4>
      </vt:variant>
      <vt:variant>
        <vt:i4>0</vt:i4>
      </vt:variant>
      <vt:variant>
        <vt:i4>5</vt:i4>
      </vt:variant>
      <vt:variant>
        <vt:lpwstr>http://lauder.wharton.upenn.edu/pages/pdf/other/2014%20Global%20Go%20To%20Think%20Tank%20Index%20Report%201%2019%201130AM.pdf</vt:lpwstr>
      </vt:variant>
      <vt:variant>
        <vt:lpwstr/>
      </vt:variant>
      <vt:variant>
        <vt:i4>7536694</vt:i4>
      </vt:variant>
      <vt:variant>
        <vt:i4>4820</vt:i4>
      </vt:variant>
      <vt:variant>
        <vt:i4>1025</vt:i4>
      </vt:variant>
      <vt:variant>
        <vt:i4>1</vt:i4>
      </vt:variant>
      <vt:variant>
        <vt:lpwstr>Captura de pantalla 2015-02-06 a las 2</vt:lpwstr>
      </vt:variant>
      <vt:variant>
        <vt:lpwstr/>
      </vt:variant>
      <vt:variant>
        <vt:i4>7536694</vt:i4>
      </vt:variant>
      <vt:variant>
        <vt:i4>4821</vt:i4>
      </vt:variant>
      <vt:variant>
        <vt:i4>1026</vt:i4>
      </vt:variant>
      <vt:variant>
        <vt:i4>1</vt:i4>
      </vt:variant>
      <vt:variant>
        <vt:lpwstr>Captura de pantalla 2015-02-06 a las 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Jubileo MAC</dc:creator>
  <cp:lastModifiedBy>Microsoft Office User</cp:lastModifiedBy>
  <cp:revision>6</cp:revision>
  <cp:lastPrinted>2015-02-06T19:22:00Z</cp:lastPrinted>
  <dcterms:created xsi:type="dcterms:W3CDTF">2022-01-25T22:51:00Z</dcterms:created>
  <dcterms:modified xsi:type="dcterms:W3CDTF">2022-01-26T01:11:00Z</dcterms:modified>
</cp:coreProperties>
</file>