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E416F" w14:textId="783E7087" w:rsidR="003E0E5F" w:rsidRPr="003E0E5F" w:rsidRDefault="003E0E5F" w:rsidP="00C94431">
      <w:pPr>
        <w:ind w:left="284" w:right="276"/>
        <w:jc w:val="center"/>
        <w:rPr>
          <w:rFonts w:ascii="Akzidenz-Grotesk BQ" w:hAnsi="Akzidenz-Grotesk BQ" w:cs="Times New Roman"/>
          <w:color w:val="682804"/>
          <w:sz w:val="28"/>
          <w:szCs w:val="28"/>
          <w:lang w:eastAsia="es-ES_tradnl"/>
        </w:rPr>
      </w:pPr>
      <w:r>
        <w:rPr>
          <w:rFonts w:ascii="Akzidenz-Grotesk BQ" w:hAnsi="Akzidenz-Grotesk BQ" w:cs="Times New Roman"/>
          <w:color w:val="682804"/>
          <w:sz w:val="28"/>
          <w:szCs w:val="28"/>
          <w:lang w:eastAsia="es-ES_tradnl"/>
        </w:rPr>
        <w:t>Incendios, agroquímicos, basura, contaminación de agua</w:t>
      </w:r>
      <w:r w:rsidR="00DE25A7">
        <w:rPr>
          <w:rFonts w:ascii="Akzidenz-Grotesk BQ" w:hAnsi="Akzidenz-Grotesk BQ" w:cs="Times New Roman"/>
          <w:color w:val="682804"/>
          <w:sz w:val="28"/>
          <w:szCs w:val="28"/>
          <w:lang w:eastAsia="es-ES_tradnl"/>
        </w:rPr>
        <w:br/>
      </w:r>
      <w:r>
        <w:rPr>
          <w:rFonts w:ascii="Akzidenz-Grotesk BQ" w:hAnsi="Akzidenz-Grotesk BQ" w:cs="Times New Roman"/>
          <w:color w:val="682804"/>
          <w:sz w:val="28"/>
          <w:szCs w:val="28"/>
          <w:lang w:eastAsia="es-ES_tradnl"/>
        </w:rPr>
        <w:t xml:space="preserve">y aire son retos </w:t>
      </w:r>
      <w:r w:rsidR="00DE25A7">
        <w:rPr>
          <w:rFonts w:ascii="Akzidenz-Grotesk BQ" w:hAnsi="Akzidenz-Grotesk BQ" w:cs="Times New Roman"/>
          <w:color w:val="682804"/>
          <w:sz w:val="28"/>
          <w:szCs w:val="28"/>
          <w:lang w:eastAsia="es-ES_tradnl"/>
        </w:rPr>
        <w:t>para gobernadores y alcaldes</w:t>
      </w:r>
    </w:p>
    <w:p w14:paraId="6A6F1643" w14:textId="77777777" w:rsidR="00E3093C" w:rsidRDefault="00F05DBF" w:rsidP="00C16800">
      <w:r w:rsidRPr="00F05DBF">
        <w:rPr>
          <w:noProof/>
          <w:lang w:eastAsia="es-ES_tradnl"/>
        </w:rPr>
        <w:drawing>
          <wp:inline distT="0" distB="0" distL="0" distR="0" wp14:anchorId="78A020DD" wp14:editId="043E0115">
            <wp:extent cx="5486597" cy="5033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72019" cy="11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7D9DE" w14:textId="77777777" w:rsidR="00990701" w:rsidRPr="00DD01DF" w:rsidRDefault="00990701" w:rsidP="00C16800">
      <w:pPr>
        <w:rPr>
          <w:color w:val="385623" w:themeColor="accent6" w:themeShade="80"/>
        </w:rPr>
      </w:pPr>
    </w:p>
    <w:p w14:paraId="2E1536E6" w14:textId="58697636" w:rsidR="00C94431" w:rsidRPr="00C94431" w:rsidRDefault="00693DB8" w:rsidP="00C94431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>El promedio anual de incendios alcanza a 4 millones de hectáreas por año.</w:t>
      </w:r>
    </w:p>
    <w:p w14:paraId="7EE7EE57" w14:textId="51F8EC01" w:rsidR="00C94431" w:rsidRDefault="00693DB8" w:rsidP="00C94431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>Se utilizan cerca de 200 toneladas de mercurio anuales para extraer oro.</w:t>
      </w:r>
    </w:p>
    <w:p w14:paraId="562DCB7F" w14:textId="35672B67" w:rsidR="00FF26F6" w:rsidRPr="00C94431" w:rsidRDefault="00693DB8" w:rsidP="00C94431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>Cada habitante produce medio kilo de basura por día</w:t>
      </w:r>
      <w:r w:rsidR="00FF26F6">
        <w:rPr>
          <w:rFonts w:ascii="Helvetica" w:hAnsi="Helvetica"/>
          <w:color w:val="682804"/>
          <w:sz w:val="20"/>
          <w:szCs w:val="20"/>
        </w:rPr>
        <w:t>.</w:t>
      </w:r>
    </w:p>
    <w:p w14:paraId="46EDFE22" w14:textId="77777777" w:rsidR="00F84ABF" w:rsidRPr="00F84ABF" w:rsidRDefault="00F84ABF" w:rsidP="00F84ABF">
      <w:pPr>
        <w:pStyle w:val="Prrafodelista"/>
        <w:jc w:val="both"/>
        <w:rPr>
          <w:rFonts w:ascii="Helvetica" w:hAnsi="Helvetica"/>
          <w:color w:val="682804"/>
          <w:sz w:val="20"/>
          <w:szCs w:val="20"/>
        </w:rPr>
      </w:pPr>
    </w:p>
    <w:p w14:paraId="3ACC4E4B" w14:textId="77777777" w:rsidR="00A46D33" w:rsidRPr="00032728" w:rsidRDefault="003E0E5F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La preocupación por el medio ambiente es </w:t>
      </w:r>
      <w:r w:rsidR="00DE25A7" w:rsidRPr="00032728">
        <w:rPr>
          <w:rFonts w:ascii="DINPro-Regular" w:hAnsi="DINPro-Regular" w:cs="Times New Roman"/>
          <w:sz w:val="22"/>
          <w:szCs w:val="22"/>
          <w:lang w:eastAsia="es-ES_tradnl"/>
        </w:rPr>
        <w:t>de interés</w:t>
      </w: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nacional. </w:t>
      </w:r>
      <w:r w:rsidR="00DE25A7" w:rsidRPr="00032728">
        <w:rPr>
          <w:rFonts w:ascii="DINPro-Regular" w:hAnsi="DINPro-Regular" w:cs="Times New Roman"/>
          <w:sz w:val="22"/>
          <w:szCs w:val="22"/>
          <w:lang w:eastAsia="es-ES_tradnl"/>
        </w:rPr>
        <w:t>P</w:t>
      </w: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olíticas y planes en distintos niveles de gobierno ponen en riesgo el equilibrio ecológico, la diversidad del ecosistema y el aprovechamiento sustentable de recursos naturales, lo que impacta en la vida presente y futura de las poblaciones, tanto urbanas como rurales.</w:t>
      </w:r>
    </w:p>
    <w:p w14:paraId="02F6FEB8" w14:textId="34DF15D0" w:rsidR="003E0E5F" w:rsidRPr="003E0E5F" w:rsidRDefault="00A46D33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Si bien la política nacional es determinante, también existen competencias para las gobernaciones y municipios respecto a la preservación del medio ambiente. No </w:t>
      </w:r>
      <w:proofErr w:type="gramStart"/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obstante</w:t>
      </w:r>
      <w:proofErr w:type="gramEnd"/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 a que varias leyes y normas prevén el cuidado del hábitat, planes y proyectos 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en ejecución 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contribuyen al calentamiento global, 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con el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 deterioro de recursos vitales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,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 como el aire, el agua y la tierra.</w:t>
      </w:r>
    </w:p>
    <w:p w14:paraId="2377ED1F" w14:textId="38DB5054" w:rsidR="003E0E5F" w:rsidRPr="003E0E5F" w:rsidRDefault="00A46D33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En el caso de l</w:t>
      </w:r>
      <w:r w:rsidR="003E0E5F" w:rsidRPr="003E0E5F">
        <w:rPr>
          <w:rFonts w:ascii="DINPro-Regular" w:hAnsi="DINPro-Regular" w:cs="Times New Roman"/>
          <w:sz w:val="22"/>
          <w:szCs w:val="22"/>
          <w:lang w:eastAsia="es-ES_tradnl"/>
        </w:rPr>
        <w:t>a Amazonía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,</w:t>
      </w:r>
      <w:r w:rsidR="003E0E5F"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es un ecosistema muy sensible y de gran interés biológico y socioec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onómico que está siendo afectado</w:t>
      </w:r>
      <w:r w:rsidR="003E0E5F"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de manera constante. Hasta octubre de 2020 se registraron más de 4 millones de hectáreas quemadas en todo el país. El 2019, para el mismo periodo, ya se habían perdido 5,7 millones de hectáreas. Entre 2001 y 2019, el promedio anual de incendios fue de 4 millones de hectáreas en el territorio boliviano.</w:t>
      </w:r>
    </w:p>
    <w:p w14:paraId="4AD07183" w14:textId="77777777" w:rsidR="003E0E5F" w:rsidRPr="003E0E5F" w:rsidRDefault="003E0E5F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En el sector agropecuario, es común el uso de agentes químicos que contaminan y provocan pérdida de biodiversidad. En el sector minero, la extracción aurífera aluvial está asociada al uso del mercurio, actividad para la que se importa más de 200 </w:t>
      </w:r>
      <w:proofErr w:type="spellStart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Tn</w:t>
      </w:r>
      <w:proofErr w:type="spellEnd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por año. Esto provoca la destrucción de playas fértiles, </w:t>
      </w:r>
      <w:proofErr w:type="spellStart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lodificación</w:t>
      </w:r>
      <w:proofErr w:type="spellEnd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de ríos, destrucción de la vegetación, pérdida de suelo, pérdida de capa vegetal y desplazamiento de la fauna.</w:t>
      </w:r>
    </w:p>
    <w:p w14:paraId="39A62599" w14:textId="5582B72E" w:rsidR="003E0E5F" w:rsidRPr="003E0E5F" w:rsidRDefault="003E0E5F" w:rsidP="00693DB8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En áreas urbanas, sectores como el transporte y el sector industrial también contribuyen de manera negativa al medio ambiente. Las plantas textiles, moliendas de azúcar, cervecerías, destilerías, fábricas de aceite vegetal, plantas de productos lácteos y curtiembres no tienen controles efectivos sobre sus residuos.</w:t>
      </w:r>
    </w:p>
    <w:p w14:paraId="35FD2BAF" w14:textId="12BA513B" w:rsidR="003E0E5F" w:rsidRPr="003E0E5F" w:rsidRDefault="003E0E5F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Con referencia a los residuos sólidos urbanos, en el territorio nacional se generan 5.600 </w:t>
      </w:r>
      <w:proofErr w:type="spellStart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Tn</w:t>
      </w:r>
      <w:proofErr w:type="spellEnd"/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/día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.</w:t>
      </w: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 xml:space="preserve"> Se produce más de medio kilo de basura por persona, cada día.</w:t>
      </w:r>
    </w:p>
    <w:p w14:paraId="261F4443" w14:textId="3F175EFA" w:rsidR="003E0E5F" w:rsidRPr="003E0E5F" w:rsidRDefault="003E0E5F" w:rsidP="00693DB8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t>Un estudio de la Oficina Económica y Comercial de la Embajada de España en La Paz advierte que varios rellenos sanitarios de diferentes municipios del país están al límite de su capacidad.</w:t>
      </w:r>
      <w:r w:rsidRPr="003E0E5F">
        <w:rPr>
          <w:rFonts w:ascii="DINPro-Regular" w:hAnsi="DINPro-Regular" w:cs="Times New Roman"/>
          <w:b/>
          <w:bCs/>
          <w:color w:val="FFFFFF"/>
          <w:sz w:val="22"/>
          <w:szCs w:val="22"/>
          <w:lang w:eastAsia="es-ES_tradnl"/>
        </w:rPr>
        <w:t xml:space="preserve"> ALCANTARILLADO</w:t>
      </w:r>
    </w:p>
    <w:p w14:paraId="5DD2DCAC" w14:textId="77777777" w:rsidR="00693DB8" w:rsidRPr="00032728" w:rsidRDefault="003E0E5F" w:rsidP="00693DB8">
      <w:pPr>
        <w:spacing w:after="120" w:line="240" w:lineRule="atLeast"/>
        <w:jc w:val="both"/>
        <w:rPr>
          <w:rFonts w:ascii="DINPro-Regular" w:hAnsi="DINPro-Regular" w:cs="Times New Roman"/>
          <w:b/>
          <w:bCs/>
          <w:color w:val="FFFFFF"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Según la Autoridad de Fiscalización y Control Social de Agua Potable y Saneamiento Básico, la situación de saneamiento básico en Bolivia muestra que sólo se tienen registradas 39 empresas públicas de agua y saneamiento con seguimiento regulatorio, las cuales cuentan con una o más plantas de tratamiento de aguas residuales dentro de su área de prestación de servicios. El dato equivale a 10% de los municipios del país.</w:t>
      </w:r>
    </w:p>
    <w:p w14:paraId="7FB812E4" w14:textId="7D689636" w:rsidR="003E0E5F" w:rsidRPr="003E0E5F" w:rsidRDefault="003E0E5F" w:rsidP="00693DB8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3E0E5F">
        <w:rPr>
          <w:rFonts w:ascii="DINPro-Regular" w:hAnsi="DINPro-Regular" w:cs="Times New Roman"/>
          <w:sz w:val="22"/>
          <w:szCs w:val="22"/>
          <w:lang w:eastAsia="es-ES_tradnl"/>
        </w:rPr>
        <w:lastRenderedPageBreak/>
        <w:t>Entre los efectos de la contaminación del aire provocada por el transporte público, las industrias sin medidas medioambientales, los incendios y otros, aumentan los daños a la salud humana y a la esperanza de vida. Además, a largo plazo, deteriora la función pulmonar y desempeña un papel importante en el desarrollo de enfermedades crónicas respiratorias, tanto en niños como en adultos.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 </w:t>
      </w:r>
    </w:p>
    <w:p w14:paraId="53B9B089" w14:textId="4647B925" w:rsidR="003E0E5F" w:rsidRPr="003E0E5F" w:rsidRDefault="003E0E5F" w:rsidP="003E0E5F">
      <w:pPr>
        <w:spacing w:after="120" w:line="240" w:lineRule="atLeast"/>
        <w:jc w:val="both"/>
        <w:rPr>
          <w:rFonts w:ascii="DINPro-Regular" w:hAnsi="DINPro-Regular" w:cs="Times New Roman"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Con relación a los residuos mineros, industriales, mala disposición de basura y aguas residuales, éstos tienen </w:t>
      </w:r>
      <w:r w:rsidRPr="00032728">
        <w:rPr>
          <w:rFonts w:ascii="DINPro-Regular" w:hAnsi="DINPro-Regular" w:cs="Times New Roman"/>
          <w:bCs/>
          <w:sz w:val="22"/>
          <w:szCs w:val="22"/>
          <w:lang w:eastAsia="es-ES_tradnl"/>
        </w:rPr>
        <w:t>efectos a corto plazo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 denominados “toxicidad aguda”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, la cual 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puede provocar náuseas, vómitos, dolores de cabeza, vértigos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 y otros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. </w:t>
      </w:r>
      <w:r w:rsidRPr="00032728">
        <w:rPr>
          <w:rFonts w:ascii="DINPro-Regular" w:hAnsi="DINPro-Regular" w:cs="Times New Roman"/>
          <w:bCs/>
          <w:sz w:val="22"/>
          <w:szCs w:val="22"/>
          <w:lang w:eastAsia="es-ES_tradnl"/>
        </w:rPr>
        <w:t>Los efectos, a largo plazo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 xml:space="preserve">, requieren exposiciones repetidas y pueden tardar meses o años en aparecer. También llamada “toxicidad crónica”. Entre sus efectos, </w:t>
      </w:r>
      <w:r w:rsidR="00693DB8" w:rsidRPr="00032728">
        <w:rPr>
          <w:rFonts w:ascii="DINPro-Regular" w:hAnsi="DINPro-Regular" w:cs="Times New Roman"/>
          <w:sz w:val="22"/>
          <w:szCs w:val="22"/>
          <w:lang w:eastAsia="es-ES_tradnl"/>
        </w:rPr>
        <w:t>está</w:t>
      </w:r>
      <w:r w:rsidRPr="00032728">
        <w:rPr>
          <w:rFonts w:ascii="DINPro-Regular" w:hAnsi="DINPro-Regular" w:cs="Times New Roman"/>
          <w:sz w:val="22"/>
          <w:szCs w:val="22"/>
          <w:lang w:eastAsia="es-ES_tradnl"/>
        </w:rPr>
        <w:t>n el cáncer, las alteraciones genéticas, las reacciones alérgicas, la alteración hormonal y la toxicidad del sistema nervioso (cerebro y nervios).</w:t>
      </w:r>
    </w:p>
    <w:p w14:paraId="2D813B96" w14:textId="6D061682" w:rsidR="00693DB8" w:rsidRPr="00032728" w:rsidRDefault="00693DB8" w:rsidP="000038C3">
      <w:pPr>
        <w:spacing w:after="120" w:line="240" w:lineRule="atLeast"/>
        <w:jc w:val="both"/>
        <w:rPr>
          <w:rFonts w:ascii="DINPro" w:hAnsi="DINPro" w:cs="Times New Roman"/>
          <w:sz w:val="22"/>
          <w:szCs w:val="22"/>
          <w:lang w:eastAsia="es-ES_tradnl"/>
        </w:rPr>
      </w:pPr>
      <w:r w:rsidRPr="00032728">
        <w:rPr>
          <w:rFonts w:ascii="DINPro" w:hAnsi="DINPro" w:cs="Times New Roman"/>
          <w:sz w:val="22"/>
          <w:szCs w:val="22"/>
          <w:lang w:eastAsia="es-ES_tradnl"/>
        </w:rPr>
        <w:t xml:space="preserve">La protección del medio ambiente, de forma compatible con el desarrollo </w:t>
      </w:r>
      <w:r w:rsidR="00032728">
        <w:rPr>
          <w:rFonts w:ascii="DINPro" w:hAnsi="DINPro" w:cs="Times New Roman"/>
          <w:sz w:val="22"/>
          <w:szCs w:val="22"/>
          <w:lang w:eastAsia="es-ES_tradnl"/>
        </w:rPr>
        <w:t xml:space="preserve">sustentable </w:t>
      </w:r>
      <w:r w:rsidRPr="00032728">
        <w:rPr>
          <w:rFonts w:ascii="DINPro" w:hAnsi="DINPro" w:cs="Times New Roman"/>
          <w:sz w:val="22"/>
          <w:szCs w:val="22"/>
          <w:lang w:eastAsia="es-ES_tradnl"/>
        </w:rPr>
        <w:t>es p</w:t>
      </w:r>
      <w:r w:rsidR="00032728">
        <w:rPr>
          <w:rFonts w:ascii="DINPro" w:hAnsi="DINPro" w:cs="Times New Roman"/>
          <w:sz w:val="22"/>
          <w:szCs w:val="22"/>
          <w:lang w:eastAsia="es-ES_tradnl"/>
        </w:rPr>
        <w:t>osible. Para esto se requieren</w:t>
      </w:r>
      <w:bookmarkStart w:id="0" w:name="_GoBack"/>
      <w:bookmarkEnd w:id="0"/>
      <w:r w:rsidRPr="00032728">
        <w:rPr>
          <w:rFonts w:ascii="DINPro" w:hAnsi="DINPro" w:cs="Times New Roman"/>
          <w:sz w:val="22"/>
          <w:szCs w:val="22"/>
          <w:lang w:eastAsia="es-ES_tradnl"/>
        </w:rPr>
        <w:t xml:space="preserve"> propuestas creativas de los candidatos y candidatas que tendrán a su cargo la gestión de gobernaciones y municipios.</w:t>
      </w:r>
    </w:p>
    <w:p w14:paraId="61C81CA7" w14:textId="6DE1F116" w:rsidR="00032728" w:rsidRPr="00032728" w:rsidRDefault="00032728" w:rsidP="00032728">
      <w:pPr>
        <w:spacing w:after="150" w:line="240" w:lineRule="atLeast"/>
        <w:ind w:left="567" w:right="560"/>
        <w:jc w:val="both"/>
        <w:rPr>
          <w:rFonts w:ascii="DINPro-Regular" w:hAnsi="DINPro-Regular" w:cs="Times New Roman"/>
          <w:i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i/>
          <w:sz w:val="22"/>
          <w:szCs w:val="22"/>
          <w:lang w:eastAsia="es-ES_tradnl"/>
        </w:rPr>
        <w:t>¿Qué políticas y estrategias proponen para eliminar la contaminación del recurso agua?</w:t>
      </w:r>
    </w:p>
    <w:p w14:paraId="550020D0" w14:textId="0FEADB4C" w:rsidR="00032728" w:rsidRPr="00032728" w:rsidRDefault="00032728" w:rsidP="00032728">
      <w:pPr>
        <w:spacing w:after="150" w:line="240" w:lineRule="atLeast"/>
        <w:ind w:left="567" w:right="560"/>
        <w:jc w:val="both"/>
        <w:rPr>
          <w:rFonts w:ascii="DINPro-Regular" w:hAnsi="DINPro-Regular" w:cs="Times New Roman"/>
          <w:i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i/>
          <w:sz w:val="22"/>
          <w:szCs w:val="22"/>
          <w:lang w:eastAsia="es-ES_tradnl"/>
        </w:rPr>
        <w:t>¿Qué políticas efectivas proponen para disminuir los constantes incendios?</w:t>
      </w:r>
    </w:p>
    <w:p w14:paraId="212DD9C4" w14:textId="4D9773F1" w:rsidR="007E4B81" w:rsidRPr="00032728" w:rsidRDefault="00032728" w:rsidP="00032728">
      <w:pPr>
        <w:spacing w:after="150" w:line="240" w:lineRule="atLeast"/>
        <w:ind w:left="567" w:right="560"/>
        <w:jc w:val="both"/>
        <w:rPr>
          <w:rFonts w:ascii="DINPro-Regular" w:hAnsi="DINPro-Regular" w:cs="Times New Roman"/>
          <w:i/>
          <w:sz w:val="22"/>
          <w:szCs w:val="22"/>
          <w:lang w:eastAsia="es-ES_tradnl"/>
        </w:rPr>
      </w:pPr>
      <w:r w:rsidRPr="00032728">
        <w:rPr>
          <w:rFonts w:ascii="DINPro-Regular" w:hAnsi="DINPro-Regular" w:cs="Times New Roman"/>
          <w:i/>
          <w:sz w:val="22"/>
          <w:szCs w:val="22"/>
          <w:lang w:eastAsia="es-ES_tradnl"/>
        </w:rPr>
        <w:t>¿Qué estrategias implementará para reducir la contaminación que contribuye al cambio climático? (Por ejemplo: reducción de la contaminación del parque automotor, residuos sólidos, contaminación de ríos, entre otros.)</w:t>
      </w:r>
    </w:p>
    <w:p w14:paraId="34C941CA" w14:textId="7DEC73CD" w:rsidR="00990701" w:rsidRPr="00990701" w:rsidRDefault="00021843" w:rsidP="00C94431">
      <w:pPr>
        <w:spacing w:after="120" w:line="240" w:lineRule="atLeast"/>
        <w:rPr>
          <w:rFonts w:ascii="Helvetica" w:hAnsi="Helvetica" w:cs="Times New Roman"/>
          <w:i/>
          <w:sz w:val="16"/>
          <w:szCs w:val="16"/>
          <w:lang w:eastAsia="es-ES_tradnl"/>
        </w:rPr>
      </w:pPr>
      <w:r>
        <w:rPr>
          <w:rFonts w:ascii="Helvetica" w:hAnsi="Helvetica" w:cs="Times New Roman"/>
          <w:i/>
          <w:sz w:val="16"/>
          <w:szCs w:val="16"/>
          <w:lang w:eastAsia="es-ES_tradnl"/>
        </w:rPr>
        <w:br/>
        <w:t xml:space="preserve">Serie: </w:t>
      </w:r>
      <w:r>
        <w:rPr>
          <w:rFonts w:ascii="Helvetica" w:hAnsi="Helvetica" w:cs="Times New Roman"/>
          <w:i/>
          <w:sz w:val="16"/>
          <w:szCs w:val="16"/>
          <w:lang w:eastAsia="es-ES_tradnl"/>
        </w:rPr>
        <w:br/>
        <w:t>10 temas clave para la gestión de gobernaciones y municipios</w:t>
      </w:r>
      <w:r>
        <w:rPr>
          <w:rFonts w:ascii="Helvetica" w:hAnsi="Helvetica" w:cs="Times New Roman"/>
          <w:i/>
          <w:sz w:val="16"/>
          <w:szCs w:val="16"/>
          <w:lang w:eastAsia="es-ES_tradnl"/>
        </w:rPr>
        <w:br/>
      </w:r>
      <w:proofErr w:type="gramStart"/>
      <w:r>
        <w:rPr>
          <w:rFonts w:ascii="Helvetica" w:hAnsi="Helvetica" w:cs="Times New Roman"/>
          <w:i/>
          <w:sz w:val="16"/>
          <w:szCs w:val="16"/>
          <w:lang w:eastAsia="es-ES_tradnl"/>
        </w:rPr>
        <w:t>F</w:t>
      </w:r>
      <w:r w:rsidRPr="00990701">
        <w:rPr>
          <w:rFonts w:ascii="Helvetica" w:hAnsi="Helvetica" w:cs="Times New Roman"/>
          <w:i/>
          <w:sz w:val="16"/>
          <w:szCs w:val="16"/>
          <w:lang w:eastAsia="es-ES_tradnl"/>
        </w:rPr>
        <w:t>ebrero</w:t>
      </w:r>
      <w:proofErr w:type="gramEnd"/>
      <w:r w:rsidRPr="00990701">
        <w:rPr>
          <w:rFonts w:ascii="Helvetica" w:hAnsi="Helvetica" w:cs="Times New Roman"/>
          <w:i/>
          <w:sz w:val="16"/>
          <w:szCs w:val="16"/>
          <w:lang w:eastAsia="es-ES_tradnl"/>
        </w:rPr>
        <w:t xml:space="preserve"> 2021</w:t>
      </w:r>
    </w:p>
    <w:sectPr w:rsidR="00990701" w:rsidRPr="00990701" w:rsidSect="00A25C31">
      <w:headerReference w:type="default" r:id="rId8"/>
      <w:footerReference w:type="default" r:id="rId9"/>
      <w:pgSz w:w="11900" w:h="16840"/>
      <w:pgMar w:top="913" w:right="1701" w:bottom="137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4B709" w14:textId="77777777" w:rsidR="00506825" w:rsidRDefault="00506825" w:rsidP="00F05DBF">
      <w:r>
        <w:separator/>
      </w:r>
    </w:p>
  </w:endnote>
  <w:endnote w:type="continuationSeparator" w:id="0">
    <w:p w14:paraId="77674F91" w14:textId="77777777" w:rsidR="00506825" w:rsidRDefault="00506825" w:rsidP="00F0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zidenz-Grotesk BQ">
    <w:charset w:val="00"/>
    <w:family w:val="auto"/>
    <w:pitch w:val="variable"/>
    <w:sig w:usb0="8000002F" w:usb1="0000000A" w:usb2="00000000" w:usb3="00000000" w:csb0="00000111" w:csb1="00000000"/>
  </w:font>
  <w:font w:name="Abel">
    <w:panose1 w:val="020005060300000200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NPro-Regular">
    <w:charset w:val="00"/>
    <w:family w:val="auto"/>
    <w:pitch w:val="variable"/>
    <w:sig w:usb0="800002AF" w:usb1="4000206A" w:usb2="00000000" w:usb3="00000000" w:csb0="0000009F" w:csb1="00000000"/>
  </w:font>
  <w:font w:name="DINPro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781A7" w14:textId="77777777" w:rsidR="00F05DBF" w:rsidRDefault="00F05DBF" w:rsidP="00F05DBF">
    <w:pPr>
      <w:pStyle w:val="Piedepgina"/>
      <w:ind w:left="-1701"/>
    </w:pPr>
    <w:r>
      <w:rPr>
        <w:noProof/>
        <w:lang w:eastAsia="es-ES_tradnl"/>
      </w:rPr>
      <w:drawing>
        <wp:inline distT="0" distB="0" distL="0" distR="0" wp14:anchorId="3B94B60A" wp14:editId="53187154">
          <wp:extent cx="7595057" cy="659130"/>
          <wp:effectExtent l="0" t="0" r="0" b="127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ntilla nota de prensa E 202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294"/>
                  <a:stretch/>
                </pic:blipFill>
                <pic:spPr bwMode="auto">
                  <a:xfrm>
                    <a:off x="0" y="0"/>
                    <a:ext cx="7665624" cy="6652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1CAA9" w14:textId="77777777" w:rsidR="00506825" w:rsidRDefault="00506825" w:rsidP="00F05DBF">
      <w:r>
        <w:separator/>
      </w:r>
    </w:p>
  </w:footnote>
  <w:footnote w:type="continuationSeparator" w:id="0">
    <w:p w14:paraId="196D8A60" w14:textId="77777777" w:rsidR="00506825" w:rsidRDefault="00506825" w:rsidP="00F05D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7B737" w14:textId="77777777" w:rsidR="00F05DBF" w:rsidRDefault="00F05DBF" w:rsidP="00F05DBF">
    <w:pPr>
      <w:pStyle w:val="Encabezado"/>
      <w:ind w:left="-1701"/>
    </w:pPr>
    <w:r>
      <w:rPr>
        <w:noProof/>
        <w:lang w:eastAsia="es-ES_tradnl"/>
      </w:rPr>
      <w:drawing>
        <wp:inline distT="0" distB="0" distL="0" distR="0" wp14:anchorId="066D8392" wp14:editId="325D2D04">
          <wp:extent cx="7594600" cy="1790700"/>
          <wp:effectExtent l="0" t="0" r="0" b="1270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tilla nota de prensa E 202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64"/>
                  <a:stretch/>
                </pic:blipFill>
                <pic:spPr bwMode="auto">
                  <a:xfrm>
                    <a:off x="0" y="0"/>
                    <a:ext cx="7595059" cy="1790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07FB"/>
    <w:multiLevelType w:val="hybridMultilevel"/>
    <w:tmpl w:val="B4FA7A04"/>
    <w:lvl w:ilvl="0" w:tplc="0292F8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4D42F5"/>
    <w:multiLevelType w:val="hybridMultilevel"/>
    <w:tmpl w:val="5B24E472"/>
    <w:lvl w:ilvl="0" w:tplc="AB2429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E90890"/>
    <w:multiLevelType w:val="hybridMultilevel"/>
    <w:tmpl w:val="AC966D6E"/>
    <w:lvl w:ilvl="0" w:tplc="B15ED7F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BF"/>
    <w:rsid w:val="000038C3"/>
    <w:rsid w:val="00021843"/>
    <w:rsid w:val="00032728"/>
    <w:rsid w:val="000400EB"/>
    <w:rsid w:val="000511EA"/>
    <w:rsid w:val="00097B3A"/>
    <w:rsid w:val="000B4E65"/>
    <w:rsid w:val="000B7AAB"/>
    <w:rsid w:val="000D47FF"/>
    <w:rsid w:val="000E2C7C"/>
    <w:rsid w:val="00126F51"/>
    <w:rsid w:val="00131E98"/>
    <w:rsid w:val="00166578"/>
    <w:rsid w:val="001A5C68"/>
    <w:rsid w:val="001D2EB6"/>
    <w:rsid w:val="001F191A"/>
    <w:rsid w:val="001F30FF"/>
    <w:rsid w:val="002A5543"/>
    <w:rsid w:val="002B48EC"/>
    <w:rsid w:val="003102A6"/>
    <w:rsid w:val="00327598"/>
    <w:rsid w:val="003961F9"/>
    <w:rsid w:val="003D2B3D"/>
    <w:rsid w:val="003D5035"/>
    <w:rsid w:val="003E0E5F"/>
    <w:rsid w:val="0041748B"/>
    <w:rsid w:val="00462D7E"/>
    <w:rsid w:val="00506825"/>
    <w:rsid w:val="00535EED"/>
    <w:rsid w:val="005B601C"/>
    <w:rsid w:val="005C4DA2"/>
    <w:rsid w:val="005E405C"/>
    <w:rsid w:val="005F6A1F"/>
    <w:rsid w:val="0061365F"/>
    <w:rsid w:val="0064182F"/>
    <w:rsid w:val="00645D0B"/>
    <w:rsid w:val="006702AB"/>
    <w:rsid w:val="006773A2"/>
    <w:rsid w:val="00683EF4"/>
    <w:rsid w:val="00693DB8"/>
    <w:rsid w:val="006A19E2"/>
    <w:rsid w:val="006E190D"/>
    <w:rsid w:val="006F71B0"/>
    <w:rsid w:val="00745FF5"/>
    <w:rsid w:val="00755BE4"/>
    <w:rsid w:val="007A3B66"/>
    <w:rsid w:val="007E4B81"/>
    <w:rsid w:val="00813E05"/>
    <w:rsid w:val="00813E68"/>
    <w:rsid w:val="008429D0"/>
    <w:rsid w:val="00855E2F"/>
    <w:rsid w:val="008965DA"/>
    <w:rsid w:val="008B0169"/>
    <w:rsid w:val="008B027A"/>
    <w:rsid w:val="008C0132"/>
    <w:rsid w:val="009854DB"/>
    <w:rsid w:val="00990701"/>
    <w:rsid w:val="009D1BBE"/>
    <w:rsid w:val="009F3490"/>
    <w:rsid w:val="00A2031D"/>
    <w:rsid w:val="00A25C31"/>
    <w:rsid w:val="00A41356"/>
    <w:rsid w:val="00A46D33"/>
    <w:rsid w:val="00A565AC"/>
    <w:rsid w:val="00AB75A3"/>
    <w:rsid w:val="00B14002"/>
    <w:rsid w:val="00B3271F"/>
    <w:rsid w:val="00B35258"/>
    <w:rsid w:val="00B96CBB"/>
    <w:rsid w:val="00BE231A"/>
    <w:rsid w:val="00C16800"/>
    <w:rsid w:val="00C210EA"/>
    <w:rsid w:val="00C31E51"/>
    <w:rsid w:val="00C34C7B"/>
    <w:rsid w:val="00C37EE6"/>
    <w:rsid w:val="00C45F98"/>
    <w:rsid w:val="00C5434B"/>
    <w:rsid w:val="00C8451A"/>
    <w:rsid w:val="00C94431"/>
    <w:rsid w:val="00CD64C6"/>
    <w:rsid w:val="00CE52D6"/>
    <w:rsid w:val="00CF3778"/>
    <w:rsid w:val="00D4475E"/>
    <w:rsid w:val="00D452BA"/>
    <w:rsid w:val="00D663C0"/>
    <w:rsid w:val="00D81BA8"/>
    <w:rsid w:val="00DB624F"/>
    <w:rsid w:val="00DB70CC"/>
    <w:rsid w:val="00DD01DF"/>
    <w:rsid w:val="00DE25A7"/>
    <w:rsid w:val="00DE63EE"/>
    <w:rsid w:val="00E1431E"/>
    <w:rsid w:val="00E3093C"/>
    <w:rsid w:val="00E32D91"/>
    <w:rsid w:val="00E377F6"/>
    <w:rsid w:val="00E46A40"/>
    <w:rsid w:val="00E74DD6"/>
    <w:rsid w:val="00E971EA"/>
    <w:rsid w:val="00EC4EFE"/>
    <w:rsid w:val="00EC5AC7"/>
    <w:rsid w:val="00F05DBF"/>
    <w:rsid w:val="00F268A5"/>
    <w:rsid w:val="00F2767A"/>
    <w:rsid w:val="00F438EB"/>
    <w:rsid w:val="00F44803"/>
    <w:rsid w:val="00F84ABF"/>
    <w:rsid w:val="00F94D9A"/>
    <w:rsid w:val="00FF26F6"/>
    <w:rsid w:val="00FF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C0793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05D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5DBF"/>
  </w:style>
  <w:style w:type="paragraph" w:styleId="Piedepgina">
    <w:name w:val="footer"/>
    <w:basedOn w:val="Normal"/>
    <w:link w:val="PiedepginaCar"/>
    <w:uiPriority w:val="99"/>
    <w:unhideWhenUsed/>
    <w:rsid w:val="00F05D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5DBF"/>
  </w:style>
  <w:style w:type="paragraph" w:customStyle="1" w:styleId="p1">
    <w:name w:val="p1"/>
    <w:basedOn w:val="Normal"/>
    <w:rsid w:val="00F05DBF"/>
    <w:rPr>
      <w:rFonts w:ascii="Akzidenz-Grotesk BQ" w:hAnsi="Akzidenz-Grotesk BQ" w:cs="Times New Roman"/>
      <w:color w:val="000006"/>
      <w:sz w:val="30"/>
      <w:szCs w:val="30"/>
      <w:lang w:eastAsia="es-ES_tradnl"/>
    </w:rPr>
  </w:style>
  <w:style w:type="paragraph" w:customStyle="1" w:styleId="p2">
    <w:name w:val="p2"/>
    <w:basedOn w:val="Normal"/>
    <w:rsid w:val="00F05DBF"/>
    <w:pPr>
      <w:jc w:val="both"/>
    </w:pPr>
    <w:rPr>
      <w:rFonts w:ascii="Abel" w:hAnsi="Abel" w:cs="Times New Roman"/>
      <w:sz w:val="18"/>
      <w:szCs w:val="18"/>
      <w:lang w:eastAsia="es-ES_tradnl"/>
    </w:rPr>
  </w:style>
  <w:style w:type="character" w:customStyle="1" w:styleId="s1">
    <w:name w:val="s1"/>
    <w:basedOn w:val="Fuentedeprrafopredeter"/>
    <w:rsid w:val="00F05DBF"/>
  </w:style>
  <w:style w:type="character" w:customStyle="1" w:styleId="apple-converted-space">
    <w:name w:val="apple-converted-space"/>
    <w:basedOn w:val="Fuentedeprrafopredeter"/>
    <w:rsid w:val="00F05DBF"/>
  </w:style>
  <w:style w:type="paragraph" w:customStyle="1" w:styleId="p3">
    <w:name w:val="p3"/>
    <w:basedOn w:val="Normal"/>
    <w:rsid w:val="006773A2"/>
    <w:pPr>
      <w:spacing w:after="120"/>
      <w:jc w:val="both"/>
    </w:pPr>
    <w:rPr>
      <w:rFonts w:ascii="Calibri" w:hAnsi="Calibri" w:cs="Times New Roman"/>
      <w:sz w:val="17"/>
      <w:szCs w:val="17"/>
      <w:lang w:eastAsia="es-ES_tradnl"/>
    </w:rPr>
  </w:style>
  <w:style w:type="character" w:customStyle="1" w:styleId="apple-tab-span">
    <w:name w:val="apple-tab-span"/>
    <w:basedOn w:val="Fuentedeprrafopredeter"/>
    <w:rsid w:val="006773A2"/>
  </w:style>
  <w:style w:type="paragraph" w:styleId="Prrafodelista">
    <w:name w:val="List Paragraph"/>
    <w:basedOn w:val="Normal"/>
    <w:uiPriority w:val="34"/>
    <w:qFormat/>
    <w:rsid w:val="00DD01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63C0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customStyle="1" w:styleId="s2">
    <w:name w:val="s2"/>
    <w:basedOn w:val="Fuentedeprrafopredeter"/>
    <w:rsid w:val="007E4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709</Words>
  <Characters>3902</Characters>
  <Application>Microsoft Macintosh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2021-02-23T18:02:00Z</dcterms:created>
  <dcterms:modified xsi:type="dcterms:W3CDTF">2021-02-23T18:02:00Z</dcterms:modified>
</cp:coreProperties>
</file>