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67C1B" w14:textId="77777777" w:rsidR="008F4713" w:rsidRPr="00AE677F" w:rsidRDefault="009B2B28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  <w:r w:rsidRPr="00AE677F">
        <w:rPr>
          <w:rFonts w:ascii="Calibri" w:hAnsi="Calibri" w:cs="Calibri"/>
          <w:b/>
          <w:bCs/>
          <w:noProof/>
          <w:sz w:val="28"/>
          <w:szCs w:val="46"/>
          <w:lang w:val="en-US"/>
        </w:rPr>
        <w:drawing>
          <wp:anchor distT="0" distB="0" distL="114300" distR="114300" simplePos="0" relativeHeight="251658240" behindDoc="0" locked="0" layoutInCell="1" allowOverlap="1" wp14:anchorId="1890BF16" wp14:editId="03FF7162">
            <wp:simplePos x="0" y="0"/>
            <wp:positionH relativeFrom="column">
              <wp:posOffset>2286000</wp:posOffset>
            </wp:positionH>
            <wp:positionV relativeFrom="paragraph">
              <wp:posOffset>-6985</wp:posOffset>
            </wp:positionV>
            <wp:extent cx="1041400" cy="626110"/>
            <wp:effectExtent l="0" t="0" r="0" b="0"/>
            <wp:wrapNone/>
            <wp:docPr id="5" name="Imagen 45" descr="Logo-JUBILEO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5" descr="Logo-JUBILEO-we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3F671" w14:textId="77777777" w:rsidR="001C75BE" w:rsidRPr="00AE677F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47F236B3" w14:textId="77777777" w:rsidR="001C75BE" w:rsidRPr="00AE677F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32294F37" w14:textId="77777777" w:rsidR="001C75BE" w:rsidRPr="00AE677F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bookmarkStart w:id="0" w:name="_GoBack"/>
    <w:p w14:paraId="44CF99AE" w14:textId="5F54D273" w:rsidR="00AE677F" w:rsidRDefault="001C60D6" w:rsidP="00AE677F">
      <w:pPr>
        <w:jc w:val="center"/>
        <w:rPr>
          <w:rFonts w:ascii="Calibri" w:hAnsi="Calibri" w:cs="Calibri"/>
          <w:b/>
          <w:bCs/>
          <w:sz w:val="26"/>
          <w:szCs w:val="46"/>
        </w:rPr>
      </w:pPr>
      <w:r w:rsidRPr="00AE677F">
        <w:rPr>
          <w:rFonts w:ascii="Calibri" w:hAnsi="Calibri" w:cs="Calibri"/>
          <w:b/>
          <w:bCs/>
          <w:noProof/>
          <w:sz w:val="28"/>
          <w:szCs w:val="46"/>
          <w:lang w:val="en-US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9AD6D87" wp14:editId="4CC8765A">
                <wp:simplePos x="0" y="0"/>
                <wp:positionH relativeFrom="column">
                  <wp:posOffset>1612</wp:posOffset>
                </wp:positionH>
                <wp:positionV relativeFrom="paragraph">
                  <wp:posOffset>409819</wp:posOffset>
                </wp:positionV>
                <wp:extent cx="5600700" cy="73025"/>
                <wp:effectExtent l="0" t="0" r="38100" b="285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73025"/>
                          <a:chOff x="1699" y="3091"/>
                          <a:chExt cx="8820" cy="115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699" y="3206"/>
                            <a:ext cx="8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619" y="3091"/>
                            <a:ext cx="900" cy="115"/>
                          </a:xfrm>
                          <a:prstGeom prst="rect">
                            <a:avLst/>
                          </a:prstGeom>
                          <a:solidFill>
                            <a:srgbClr val="00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E73251" id="Group 2" o:spid="_x0000_s1026" style="position:absolute;margin-left:.15pt;margin-top:32.25pt;width:441pt;height:5.75pt;z-index:251657216" coordorigin="1699,3091" coordsize="8820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eoreAMAAO8IAAAOAAAAZHJzL2Uyb0RvYy54bWy8VtuO2zYQfS+QfyD4rhUly7IlrDbY+LIo&#10;sG0WSfoBtERdEIlUSHrlbdF/75CUfCuSLrZA/CCTGnI4c84Zjm7fH7oWPTOpGsEzHNwQjBjPRdHw&#10;KsN/fNl6S4yUprygreAswy9M4fd37365HfqUhaIWbcEkAidcpUOf4VrrPvV9ldeso+pG9IyDsRSy&#10;oxqmsvILSQfw3rV+SEjsD0IWvRQ5Uwrerp0R31n/Zcly/bEsFdOozTDEpu1T2ufOPP27W5pWkvZ1&#10;k49h0DdE0dGGw6FHV2uqKdrL5l+uuiaXQolS3+Si80VZNjmzOUA2AbnK5kGKfW9zqdKh6o8wAbRX&#10;OL3Zbf7785NETQHcYcRpBxTZU1FooBn6KoUVD7L/3D9Jlx8MH0X+VYHZv7abeeUWo93wmyjAHd1r&#10;YaE5lLIzLiBpdLAMvBwZYAeNcng5jwlZECAqB9tiRsK5YyivgUazK4iTBCMwzkgSTLbNuHu5DMet&#10;QWA3+jR1p9pIx8hMWiA2dcJT/T88P9e0Z5YmZdAa8QwnPB8bztDMwWkXrLjDMj/wEUvExaqmvGLW&#10;1ZeXHnCz2UHcZ1vMRAER/4ntCaWQxA6lCeETRlb8R4Ro2kulH5jokBlkuIWwLW/0+VFpw/ZpiaGR&#10;i23TtrZ+Wo6GDCdzYMtYlGibwhjtRFa7VSvRMzUVSGaz2AYEzi6WgdJ5YZ3VjBabcaxp07oxrG+5&#10;8Qd5QDjjyJXYXwlJNsvNMvKiMN54EVmvvfvtKvLibbCYr2fr1Wod/G1CC6K0boqCcRPdVO5B9Dr6&#10;x4vHFeqx4I8w+JfeLV4Q7PRvg7Z0GgadBneieHmSrpCsIn+SNGeTND/B/QiyaxmKzvQ51bpyhX4U&#10;572UYjD0QL1cqNNteLU6kzi4ruFJnclU+9cFfNLeKE8Jof9InhfqUq8ToVPYGaM/0lwQRuRDmHjb&#10;eLnwom0095IFWXokSD4kMYmSaL291Jy9B1ynA6m8VXOvrjQCP0PqdaV1jYaO2zZdhpdmzdgDv1d2&#10;x5Ix4U9inv6/L2okBdwhcBvDtwEMaiH/xGiAPpth9W1PJcOo/ZWDkJIgikxjtpNovjA3uDy37M4t&#10;lOfgKsMaIzdcadfM971sqhpOCqwouLiHtlM29t4ywnSlBnGbCdz9dmS7qs1l/AIwbft8bledvlPu&#10;/gEAAP//AwBQSwMEFAAGAAgAAAAhAB9u4vTdAAAABgEAAA8AAABkcnMvZG93bnJldi54bWxMjs1K&#10;w0AUhfeC7zBcwZ2dpLUxxNyUUtRVEWyF0t1t5jYJzcyEzDRJ395xpcvzwzlfvpp0KwbuXWMNQjyL&#10;QLAprWpMhfC9f39KQThPRlFrDSPc2MGquL/LKVN2NF887HwlwohxGSHU3neZlK6sWZOb2Y5NyM62&#10;1+SD7CupehrDuG7lPIoSqakx4aGmjjc1l5fdVSN8jDSuF/HbsL2cN7fjfvl52MaM+PgwrV9BeJ78&#10;Xxl+8QM6FIHpZK9GOdEiLEIPIXlegghpms6DcUJ4SSKQRS7/4xc/AAAA//8DAFBLAQItABQABgAI&#10;AAAAIQC2gziS/gAAAOEBAAATAAAAAAAAAAAAAAAAAAAAAABbQ29udGVudF9UeXBlc10ueG1sUEsB&#10;Ai0AFAAGAAgAAAAhADj9If/WAAAAlAEAAAsAAAAAAAAAAAAAAAAALwEAAF9yZWxzLy5yZWxzUEsB&#10;Ai0AFAAGAAgAAAAhAHSB6it4AwAA7wgAAA4AAAAAAAAAAAAAAAAALgIAAGRycy9lMm9Eb2MueG1s&#10;UEsBAi0AFAAGAAgAAAAhAB9u4vTdAAAABgEAAA8AAAAAAAAAAAAAAAAA0gUAAGRycy9kb3ducmV2&#10;LnhtbFBLBQYAAAAABAAEAPMAAADcBgAAAAA=&#10;">
                <v:line id="Line 3" o:spid="_x0000_s1027" style="position:absolute;visibility:visible;mso-wrap-style:square" from="1699,3206" to="10519,3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ubrwQAAANoAAAAPAAAAZHJzL2Rvd25yZXYueG1sRI9Bi8Iw&#10;FITvC/6H8ARva6oHXbrGUgqC68nqgtdH82yLzUtpoun+eyMIexxm5htmk42mEw8aXGtZwWKegCCu&#10;rG65VvB73n1+gXAeWWNnmRT8kYNsO/nYYKpt4JIeJ1+LCGGXooLG+z6V0lUNGXRz2xNH72oHgz7K&#10;oZZ6wBDhppPLJFlJgy3HhQZ7Khqqbqe7UXDJw2Xxc86D363LYyiOozmsS6Vm0zH/BuFp9P/hd3uv&#10;FSzhdSXeALl9AgAA//8DAFBLAQItABQABgAIAAAAIQDb4fbL7gAAAIUBAAATAAAAAAAAAAAAAAAA&#10;AAAAAABbQ29udGVudF9UeXBlc10ueG1sUEsBAi0AFAAGAAgAAAAhAFr0LFu/AAAAFQEAAAsAAAAA&#10;AAAAAAAAAAAAHwEAAF9yZWxzLy5yZWxzUEsBAi0AFAAGAAgAAAAhALUm5uvBAAAA2gAAAA8AAAAA&#10;AAAAAAAAAAAABwIAAGRycy9kb3ducmV2LnhtbFBLBQYAAAAAAwADALcAAAD1AgAAAAA=&#10;" strokecolor="#036"/>
                <v:rect id="Rectangle 4" o:spid="_x0000_s1028" style="position:absolute;left:9619;top:3091;width:900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SQZxQAAANoAAAAPAAAAZHJzL2Rvd25yZXYueG1sRI/dasJA&#10;FITvBd9hOUJvim5sQdrUVaQSkIKi8Qe8O2RPk9Ds2ZBdTXx7Vyh4OczMN8x03plKXKlxpWUF41EE&#10;gjizuuRcwWGfDD9AOI+ssbJMCm7kYD7r96YYa9vyjq6pz0WAsItRQeF9HUvpsoIMupGtiYP3axuD&#10;Psgml7rBNsBNJd+iaCINlhwWCqzpu6DsL70YBfvk59xuPifrc/l6XG7zZH1KF1qpl0G3+ALhqfPP&#10;8H97pRW8w+NKuAFydgcAAP//AwBQSwECLQAUAAYACAAAACEA2+H2y+4AAACFAQAAEwAAAAAAAAAA&#10;AAAAAAAAAAAAW0NvbnRlbnRfVHlwZXNdLnhtbFBLAQItABQABgAIAAAAIQBa9CxbvwAAABUBAAAL&#10;AAAAAAAAAAAAAAAAAB8BAABfcmVscy8ucmVsc1BLAQItABQABgAIAAAAIQAWhSQZxQAAANoAAAAP&#10;AAAAAAAAAAAAAAAAAAcCAABkcnMvZG93bnJldi54bWxQSwUGAAAAAAMAAwC3AAAA+QIAAAAA&#10;" fillcolor="#036" stroked="f"/>
              </v:group>
            </w:pict>
          </mc:Fallback>
        </mc:AlternateContent>
      </w:r>
      <w:r w:rsidR="00900762">
        <w:rPr>
          <w:rFonts w:ascii="Calibri" w:hAnsi="Calibri" w:cs="Calibri"/>
          <w:b/>
          <w:bCs/>
          <w:sz w:val="26"/>
          <w:szCs w:val="46"/>
        </w:rPr>
        <w:t xml:space="preserve">MEJORA </w:t>
      </w:r>
      <w:r w:rsidR="00AE677F" w:rsidRPr="00AE677F">
        <w:rPr>
          <w:rFonts w:ascii="Calibri" w:hAnsi="Calibri" w:cs="Calibri"/>
          <w:b/>
          <w:bCs/>
          <w:sz w:val="26"/>
          <w:szCs w:val="46"/>
        </w:rPr>
        <w:t>LA PERCEPCIÓN SOBRE CORRUPCIÓN EN BOLIVIA</w:t>
      </w:r>
      <w:r w:rsidR="00AE677F" w:rsidRPr="00AE677F">
        <w:rPr>
          <w:rFonts w:ascii="PMingLiU" w:eastAsia="PMingLiU" w:hAnsi="PMingLiU" w:cs="PMingLiU"/>
          <w:b/>
          <w:bCs/>
          <w:sz w:val="26"/>
          <w:szCs w:val="46"/>
        </w:rPr>
        <w:br/>
      </w:r>
      <w:r w:rsidR="00AE677F" w:rsidRPr="002E1EE5">
        <w:rPr>
          <w:rFonts w:ascii="Calibri" w:hAnsi="Calibri" w:cs="Calibri"/>
          <w:b/>
          <w:bCs/>
        </w:rPr>
        <w:t>SEGÚN TRANSPARENCIA INTERNACIONAL 201</w:t>
      </w:r>
      <w:r w:rsidR="00900762">
        <w:rPr>
          <w:rFonts w:ascii="Calibri" w:hAnsi="Calibri" w:cs="Calibri"/>
          <w:b/>
          <w:bCs/>
        </w:rPr>
        <w:t>9</w:t>
      </w:r>
    </w:p>
    <w:p w14:paraId="79744461" w14:textId="2B6A4F42" w:rsidR="001C60D6" w:rsidRPr="00AE677F" w:rsidRDefault="001C60D6" w:rsidP="001C60D6">
      <w:pPr>
        <w:pStyle w:val="Prrafodelista"/>
        <w:numPr>
          <w:ilvl w:val="0"/>
          <w:numId w:val="1"/>
        </w:numPr>
        <w:rPr>
          <w:rFonts w:ascii="Calibri" w:hAnsi="Calibri"/>
        </w:rPr>
      </w:pPr>
      <w:r w:rsidRPr="00AE677F">
        <w:rPr>
          <w:rFonts w:ascii="Calibri" w:hAnsi="Calibri"/>
        </w:rPr>
        <w:t>De 180 países, Bolivia se sitúa en el puesto 1</w:t>
      </w:r>
      <w:r w:rsidR="00900762">
        <w:rPr>
          <w:rFonts w:ascii="Calibri" w:hAnsi="Calibri"/>
        </w:rPr>
        <w:t>2</w:t>
      </w:r>
      <w:r w:rsidRPr="00AE677F">
        <w:rPr>
          <w:rFonts w:ascii="Calibri" w:hAnsi="Calibri"/>
        </w:rPr>
        <w:t>3 en el ranking de T</w:t>
      </w:r>
      <w:r w:rsidR="003B74CC">
        <w:rPr>
          <w:rFonts w:ascii="Calibri" w:hAnsi="Calibri"/>
        </w:rPr>
        <w:t>ransparencia</w:t>
      </w:r>
      <w:r w:rsidRPr="00AE677F">
        <w:rPr>
          <w:rFonts w:ascii="Calibri" w:hAnsi="Calibri"/>
        </w:rPr>
        <w:t>.</w:t>
      </w:r>
      <w:r w:rsidRPr="00AE677F">
        <w:rPr>
          <w:rFonts w:ascii="Calibri" w:hAnsi="Calibri"/>
          <w:noProof/>
          <w:lang w:eastAsia="es-ES_tradnl"/>
        </w:rPr>
        <w:t xml:space="preserve"> </w:t>
      </w:r>
    </w:p>
    <w:p w14:paraId="7C7043E2" w14:textId="53FA8E1C" w:rsidR="001C60D6" w:rsidRPr="00AE677F" w:rsidRDefault="003B74CC" w:rsidP="001C60D6">
      <w:pPr>
        <w:pStyle w:val="Prrafodelista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O</w:t>
      </w:r>
      <w:r w:rsidR="001C60D6" w:rsidRPr="00AE677F">
        <w:rPr>
          <w:rFonts w:ascii="Calibri" w:hAnsi="Calibri"/>
        </w:rPr>
        <w:t xml:space="preserve">btuvo un puntaje de </w:t>
      </w:r>
      <w:r w:rsidR="00900762">
        <w:rPr>
          <w:rFonts w:ascii="Calibri" w:hAnsi="Calibri"/>
        </w:rPr>
        <w:t>31</w:t>
      </w:r>
      <w:r w:rsidR="001C60D6" w:rsidRPr="00AE677F">
        <w:rPr>
          <w:rFonts w:ascii="Calibri" w:hAnsi="Calibri"/>
        </w:rPr>
        <w:t xml:space="preserve"> sobre 100, donde 0 es más corrupto y 100 menos corrupto.</w:t>
      </w:r>
    </w:p>
    <w:p w14:paraId="04DDD8FA" w14:textId="4F4AE4A6" w:rsidR="003B74CC" w:rsidRPr="0086688A" w:rsidRDefault="001C60D6" w:rsidP="0072754C">
      <w:pPr>
        <w:pStyle w:val="Prrafodelista"/>
        <w:numPr>
          <w:ilvl w:val="0"/>
          <w:numId w:val="1"/>
        </w:num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Transparencia Internacional advierte que </w:t>
      </w:r>
      <w:r w:rsidR="00900762" w:rsidRPr="00900762">
        <w:rPr>
          <w:rFonts w:ascii="Calibri" w:hAnsi="Calibri"/>
        </w:rPr>
        <w:t xml:space="preserve">los grandes flujos de dinero </w:t>
      </w:r>
      <w:r w:rsidR="0086688A">
        <w:rPr>
          <w:rFonts w:ascii="Calibri" w:hAnsi="Calibri"/>
        </w:rPr>
        <w:t>deben</w:t>
      </w:r>
      <w:r w:rsidR="00900762" w:rsidRPr="00900762">
        <w:rPr>
          <w:rFonts w:ascii="Calibri" w:hAnsi="Calibri"/>
        </w:rPr>
        <w:t xml:space="preserve"> manten</w:t>
      </w:r>
      <w:r w:rsidR="0086688A">
        <w:rPr>
          <w:rFonts w:ascii="Calibri" w:hAnsi="Calibri"/>
        </w:rPr>
        <w:t xml:space="preserve">erse </w:t>
      </w:r>
      <w:r w:rsidR="00900762" w:rsidRPr="00900762">
        <w:rPr>
          <w:rFonts w:ascii="Calibri" w:hAnsi="Calibri"/>
        </w:rPr>
        <w:t>alejados de la política</w:t>
      </w:r>
      <w:r w:rsidR="0086688A">
        <w:rPr>
          <w:rFonts w:ascii="Calibri" w:hAnsi="Calibri"/>
        </w:rPr>
        <w:t>.</w:t>
      </w:r>
    </w:p>
    <w:bookmarkEnd w:id="0"/>
    <w:p w14:paraId="1129D10E" w14:textId="6975B836" w:rsidR="003B74CC" w:rsidRDefault="0086688A" w:rsidP="0072754C">
      <w:pPr>
        <w:jc w:val="both"/>
        <w:rPr>
          <w:rFonts w:ascii="Calibri" w:hAnsi="Calibri"/>
        </w:rPr>
      </w:pPr>
      <w:r>
        <w:rPr>
          <w:rFonts w:ascii="Calibri" w:hAnsi="Calibri"/>
        </w:rPr>
        <w:t>E</w:t>
      </w:r>
      <w:r w:rsidR="003B74CC">
        <w:rPr>
          <w:rFonts w:ascii="Calibri" w:hAnsi="Calibri"/>
        </w:rPr>
        <w:t>l</w:t>
      </w:r>
      <w:r w:rsidR="00AE677F" w:rsidRPr="00AE677F">
        <w:rPr>
          <w:rFonts w:ascii="Calibri" w:hAnsi="Calibri"/>
        </w:rPr>
        <w:t xml:space="preserve"> Índice de Percepción de Corrupción </w:t>
      </w:r>
      <w:r w:rsidR="003B74CC">
        <w:rPr>
          <w:rFonts w:ascii="Calibri" w:hAnsi="Calibri"/>
        </w:rPr>
        <w:t>(</w:t>
      </w:r>
      <w:r w:rsidR="00AE677F" w:rsidRPr="00AE677F">
        <w:rPr>
          <w:rFonts w:ascii="Calibri" w:hAnsi="Calibri"/>
        </w:rPr>
        <w:t>IPC</w:t>
      </w:r>
      <w:r w:rsidR="003B74CC">
        <w:rPr>
          <w:rFonts w:ascii="Calibri" w:hAnsi="Calibri"/>
        </w:rPr>
        <w:t>)</w:t>
      </w:r>
      <w:r w:rsidR="00AE677F" w:rsidRPr="00AE677F">
        <w:rPr>
          <w:rFonts w:ascii="Calibri" w:hAnsi="Calibri"/>
        </w:rPr>
        <w:t xml:space="preserve"> 201</w:t>
      </w:r>
      <w:r w:rsidR="0072754C">
        <w:rPr>
          <w:rFonts w:ascii="Calibri" w:hAnsi="Calibri"/>
        </w:rPr>
        <w:t>9</w:t>
      </w:r>
      <w:r w:rsidR="00AE677F" w:rsidRPr="00AE677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situó a Bolivia en el puesto 123 de 180 países estudiados </w:t>
      </w:r>
      <w:r w:rsidR="00AE677F" w:rsidRPr="00AE677F">
        <w:rPr>
          <w:rFonts w:ascii="Calibri" w:hAnsi="Calibri"/>
        </w:rPr>
        <w:t>por Transparencia Internacional (TI)</w:t>
      </w:r>
      <w:r w:rsidR="003B74CC">
        <w:rPr>
          <w:rFonts w:ascii="Calibri" w:hAnsi="Calibri"/>
        </w:rPr>
        <w:t xml:space="preserve">, estudio que </w:t>
      </w:r>
      <w:r w:rsidR="00AE677F" w:rsidRPr="00AE677F">
        <w:rPr>
          <w:rFonts w:ascii="Calibri" w:hAnsi="Calibri"/>
        </w:rPr>
        <w:t xml:space="preserve">tiene una cobertura </w:t>
      </w:r>
      <w:r w:rsidR="003B74CC">
        <w:rPr>
          <w:rFonts w:ascii="Calibri" w:hAnsi="Calibri"/>
        </w:rPr>
        <w:t>en</w:t>
      </w:r>
      <w:r w:rsidR="00AE677F" w:rsidRPr="00AE677F">
        <w:rPr>
          <w:rFonts w:ascii="Calibri" w:hAnsi="Calibri"/>
        </w:rPr>
        <w:t xml:space="preserve"> 180 países</w:t>
      </w:r>
      <w:r>
        <w:rPr>
          <w:rFonts w:ascii="Calibri" w:hAnsi="Calibri"/>
        </w:rPr>
        <w:t xml:space="preserve"> del mundo.</w:t>
      </w:r>
    </w:p>
    <w:p w14:paraId="6A4896D8" w14:textId="118ADCB5" w:rsidR="003B74CC" w:rsidRDefault="0086688A" w:rsidP="0072754C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Bolivia </w:t>
      </w:r>
      <w:r w:rsidR="003B74CC">
        <w:rPr>
          <w:rFonts w:ascii="Calibri" w:hAnsi="Calibri"/>
        </w:rPr>
        <w:t xml:space="preserve">obtuvo un puntaje de 31 sobre 100, donde 0 </w:t>
      </w:r>
      <w:r>
        <w:rPr>
          <w:rFonts w:ascii="Calibri" w:hAnsi="Calibri"/>
        </w:rPr>
        <w:t>representa la percepción de</w:t>
      </w:r>
      <w:r w:rsidR="003B74CC">
        <w:rPr>
          <w:rFonts w:ascii="Calibri" w:hAnsi="Calibri"/>
        </w:rPr>
        <w:t xml:space="preserve"> mayor corrupción y 100 </w:t>
      </w:r>
      <w:r>
        <w:rPr>
          <w:rFonts w:ascii="Calibri" w:hAnsi="Calibri"/>
        </w:rPr>
        <w:t xml:space="preserve">de </w:t>
      </w:r>
      <w:r w:rsidR="003B74CC">
        <w:rPr>
          <w:rFonts w:ascii="Calibri" w:hAnsi="Calibri"/>
        </w:rPr>
        <w:t>menor corrupción</w:t>
      </w:r>
      <w:r>
        <w:rPr>
          <w:rFonts w:ascii="Calibri" w:hAnsi="Calibri"/>
        </w:rPr>
        <w:t>; sin embargo, obtuvo una mejor calificación respecto a la gestión 201</w:t>
      </w:r>
      <w:r w:rsidR="000463E4">
        <w:rPr>
          <w:rFonts w:ascii="Calibri" w:hAnsi="Calibri"/>
        </w:rPr>
        <w:t>8</w:t>
      </w:r>
      <w:r>
        <w:rPr>
          <w:rFonts w:ascii="Calibri" w:hAnsi="Calibri"/>
        </w:rPr>
        <w:t>.</w:t>
      </w:r>
    </w:p>
    <w:p w14:paraId="1F41F069" w14:textId="2BB716E6" w:rsidR="00AE677F" w:rsidRPr="00AE677F" w:rsidRDefault="00AE677F" w:rsidP="0072754C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>En el análisis</w:t>
      </w:r>
      <w:r w:rsidR="0086688A">
        <w:rPr>
          <w:rFonts w:ascii="Calibri" w:hAnsi="Calibri"/>
        </w:rPr>
        <w:t xml:space="preserve"> global</w:t>
      </w:r>
      <w:r w:rsidRPr="00AE677F">
        <w:rPr>
          <w:rFonts w:ascii="Calibri" w:hAnsi="Calibri"/>
        </w:rPr>
        <w:t xml:space="preserve">, TI </w:t>
      </w:r>
      <w:r w:rsidR="0086688A">
        <w:rPr>
          <w:rFonts w:ascii="Calibri" w:hAnsi="Calibri"/>
        </w:rPr>
        <w:t>recomienda</w:t>
      </w:r>
      <w:r w:rsidRPr="00AE677F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 xml:space="preserve">que los grandes flujos de dinero </w:t>
      </w:r>
      <w:r w:rsidR="0086688A">
        <w:rPr>
          <w:rFonts w:ascii="Calibri" w:hAnsi="Calibri"/>
        </w:rPr>
        <w:t>se</w:t>
      </w:r>
      <w:r w:rsidR="0072754C" w:rsidRPr="0072754C">
        <w:rPr>
          <w:rFonts w:ascii="Calibri" w:hAnsi="Calibri"/>
        </w:rPr>
        <w:t xml:space="preserve"> mantengan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alejados de la política, para así reducir las oportunidades de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corrupción y garantizar que los procesos de toma de decisiones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sirv</w:t>
      </w:r>
      <w:r w:rsidR="001B7B80">
        <w:rPr>
          <w:rFonts w:ascii="Calibri" w:hAnsi="Calibri"/>
        </w:rPr>
        <w:t>a</w:t>
      </w:r>
      <w:r w:rsidR="0072754C" w:rsidRPr="0072754C">
        <w:rPr>
          <w:rFonts w:ascii="Calibri" w:hAnsi="Calibri"/>
        </w:rPr>
        <w:t>n al interés público.</w:t>
      </w:r>
    </w:p>
    <w:p w14:paraId="6D047229" w14:textId="77777777" w:rsidR="0086688A" w:rsidRDefault="00AE677F" w:rsidP="00E86DFB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Transparencia Internacional advierte </w:t>
      </w:r>
      <w:r w:rsidR="00E86DFB">
        <w:rPr>
          <w:rFonts w:ascii="Calibri" w:hAnsi="Calibri"/>
        </w:rPr>
        <w:t>sobre</w:t>
      </w:r>
      <w:r w:rsidRPr="00AE677F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la relación entre política,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 xml:space="preserve">dinero y corrupción. </w:t>
      </w:r>
      <w:r w:rsidR="00E86DFB">
        <w:rPr>
          <w:rFonts w:ascii="Calibri" w:hAnsi="Calibri"/>
        </w:rPr>
        <w:t>Indica que l</w:t>
      </w:r>
      <w:r w:rsidR="0072754C" w:rsidRPr="0072754C">
        <w:rPr>
          <w:rFonts w:ascii="Calibri" w:hAnsi="Calibri"/>
        </w:rPr>
        <w:t>os flujos no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regulados de grandes capitales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hacia la política convierten las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políticas públicas en vulnerables</w:t>
      </w:r>
      <w:r w:rsidR="0072754C">
        <w:rPr>
          <w:rFonts w:ascii="Calibri" w:hAnsi="Calibri"/>
        </w:rPr>
        <w:t xml:space="preserve"> </w:t>
      </w:r>
      <w:r w:rsidR="0072754C" w:rsidRPr="0072754C">
        <w:rPr>
          <w:rFonts w:ascii="Calibri" w:hAnsi="Calibri"/>
        </w:rPr>
        <w:t>a las influencias indebidas.</w:t>
      </w:r>
      <w:r w:rsidR="00E86DFB">
        <w:rPr>
          <w:rFonts w:ascii="Calibri" w:hAnsi="Calibri"/>
        </w:rPr>
        <w:t xml:space="preserve"> </w:t>
      </w:r>
    </w:p>
    <w:p w14:paraId="3FB0B2A7" w14:textId="3C92F66C" w:rsidR="00AE677F" w:rsidRPr="00AE677F" w:rsidRDefault="00E86DFB" w:rsidP="00E86DFB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Afirma que es mejor la situación en </w:t>
      </w:r>
      <w:r w:rsidRPr="00E86DFB">
        <w:rPr>
          <w:rFonts w:ascii="Calibri" w:hAnsi="Calibri"/>
        </w:rPr>
        <w:t>países en los que las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regulaciones de la financiación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electoral se cumplen de manera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amplia y sistemática, mientras que los países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en los que estas regulaciones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no existen o se cumplen de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 xml:space="preserve">forma deficiente, </w:t>
      </w:r>
      <w:r>
        <w:rPr>
          <w:rFonts w:ascii="Calibri" w:hAnsi="Calibri"/>
        </w:rPr>
        <w:t>la situación es preocupante</w:t>
      </w:r>
      <w:r w:rsidRPr="00E86DFB">
        <w:rPr>
          <w:rFonts w:ascii="Calibri" w:hAnsi="Calibri"/>
        </w:rPr>
        <w:t>.</w:t>
      </w:r>
    </w:p>
    <w:p w14:paraId="59D853F1" w14:textId="3177FD66" w:rsidR="00AE677F" w:rsidRPr="00AE677F" w:rsidRDefault="00E86DFB" w:rsidP="00AE677F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Respecto de la situación en la región de las Américas, TI </w:t>
      </w:r>
      <w:r w:rsidR="0086688A">
        <w:rPr>
          <w:rFonts w:ascii="Calibri" w:hAnsi="Calibri"/>
        </w:rPr>
        <w:t>señala</w:t>
      </w:r>
      <w:r w:rsidR="00AE677F" w:rsidRPr="00AE677F">
        <w:rPr>
          <w:rFonts w:ascii="Calibri" w:hAnsi="Calibri"/>
        </w:rPr>
        <w:t xml:space="preserve"> que </w:t>
      </w:r>
      <w:r>
        <w:rPr>
          <w:rFonts w:ascii="Calibri" w:hAnsi="Calibri"/>
        </w:rPr>
        <w:t>l</w:t>
      </w:r>
      <w:r w:rsidRPr="00E86DFB">
        <w:rPr>
          <w:rFonts w:ascii="Calibri" w:hAnsi="Calibri"/>
        </w:rPr>
        <w:t>a región afronta retos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importantes, entre los que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destaca la presencia de líderes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políticos que actúan en su propio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beneficio y en detrimento de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la ciudadanía a la que deben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servir. Específicamente, la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financiación de partidos políticos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y la integridad electoral son</w:t>
      </w:r>
      <w:r>
        <w:rPr>
          <w:rFonts w:ascii="Calibri" w:hAnsi="Calibri"/>
        </w:rPr>
        <w:t xml:space="preserve"> </w:t>
      </w:r>
      <w:r w:rsidRPr="00E86DFB">
        <w:rPr>
          <w:rFonts w:ascii="Calibri" w:hAnsi="Calibri"/>
        </w:rPr>
        <w:t>grandes desafíos.</w:t>
      </w:r>
    </w:p>
    <w:p w14:paraId="5B192548" w14:textId="1B642B70" w:rsidR="00AE677F" w:rsidRPr="00AE677F" w:rsidRDefault="00AE677F" w:rsidP="00AE677F">
      <w:pPr>
        <w:jc w:val="both"/>
        <w:rPr>
          <w:rFonts w:ascii="Calibri" w:hAnsi="Calibri"/>
          <w:b/>
        </w:rPr>
      </w:pPr>
      <w:r w:rsidRPr="00AE677F">
        <w:rPr>
          <w:rFonts w:ascii="Calibri" w:hAnsi="Calibri"/>
          <w:b/>
        </w:rPr>
        <w:t>Bolivia mejora su calificación</w:t>
      </w:r>
    </w:p>
    <w:p w14:paraId="436A859F" w14:textId="04C93A19" w:rsidR="00F36FF9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>Desde el año 2012, Bolivia ha ido reduciendo su puntaje. En la gestión 201</w:t>
      </w:r>
      <w:r w:rsidR="002F1AD3">
        <w:rPr>
          <w:rFonts w:ascii="Calibri" w:hAnsi="Calibri"/>
        </w:rPr>
        <w:t>9</w:t>
      </w:r>
      <w:r w:rsidRPr="00AE677F">
        <w:rPr>
          <w:rFonts w:ascii="Calibri" w:hAnsi="Calibri"/>
        </w:rPr>
        <w:t xml:space="preserve"> </w:t>
      </w:r>
      <w:r w:rsidR="00F36FF9">
        <w:rPr>
          <w:rFonts w:ascii="Calibri" w:hAnsi="Calibri"/>
        </w:rPr>
        <w:t>mejoró su calificación</w:t>
      </w:r>
      <w:r w:rsidRPr="00AE677F">
        <w:rPr>
          <w:rFonts w:ascii="Calibri" w:hAnsi="Calibri"/>
        </w:rPr>
        <w:t xml:space="preserve"> </w:t>
      </w:r>
      <w:r w:rsidR="00F36FF9">
        <w:rPr>
          <w:rFonts w:ascii="Calibri" w:hAnsi="Calibri"/>
        </w:rPr>
        <w:t xml:space="preserve">al registrar un puntaje de </w:t>
      </w:r>
      <w:r w:rsidR="002F1AD3">
        <w:rPr>
          <w:rFonts w:ascii="Calibri" w:hAnsi="Calibri"/>
        </w:rPr>
        <w:t>31</w:t>
      </w:r>
      <w:r w:rsidR="00F36FF9">
        <w:rPr>
          <w:rFonts w:ascii="Calibri" w:hAnsi="Calibri"/>
        </w:rPr>
        <w:t>. Una gestión anterior, en 2018, había obtenido 29 puntos, una de sus peores calificaciones.</w:t>
      </w:r>
    </w:p>
    <w:p w14:paraId="5B60A028" w14:textId="638BD430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Para la calificación a Bolivia, TI utilizó siete fuentes de información, </w:t>
      </w:r>
      <w:r w:rsidR="002F1AD3">
        <w:rPr>
          <w:rFonts w:ascii="Calibri" w:hAnsi="Calibri"/>
        </w:rPr>
        <w:t>similar a las</w:t>
      </w:r>
      <w:r w:rsidRPr="00AE677F">
        <w:rPr>
          <w:rFonts w:ascii="Calibri" w:hAnsi="Calibri"/>
        </w:rPr>
        <w:t xml:space="preserve"> empleadas </w:t>
      </w:r>
      <w:r w:rsidR="00F36FF9">
        <w:rPr>
          <w:rFonts w:ascii="Calibri" w:hAnsi="Calibri"/>
        </w:rPr>
        <w:t>un año anterior</w:t>
      </w:r>
      <w:r w:rsidRPr="00AE677F">
        <w:rPr>
          <w:rFonts w:ascii="Calibri" w:hAnsi="Calibri"/>
        </w:rPr>
        <w:t xml:space="preserve">. </w:t>
      </w:r>
    </w:p>
    <w:p w14:paraId="24ECFCDE" w14:textId="2083DD48" w:rsidR="00AE677F" w:rsidRPr="00AE677F" w:rsidRDefault="002F1AD3" w:rsidP="00AE677F">
      <w:pPr>
        <w:pStyle w:val="Prrafodelista"/>
        <w:rPr>
          <w:rFonts w:ascii="Calibri" w:hAnsi="Calibri"/>
        </w:rPr>
      </w:pPr>
      <w:r w:rsidRPr="002F1AD3">
        <w:rPr>
          <w:noProof/>
        </w:rPr>
        <w:lastRenderedPageBreak/>
        <w:drawing>
          <wp:inline distT="0" distB="0" distL="0" distR="0" wp14:anchorId="1CEB2BDE" wp14:editId="15CCC0B2">
            <wp:extent cx="3906570" cy="2744798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584" cy="274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D9E6D" w14:textId="2E58DDAB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La posición de Bolivia en el ranking mundial </w:t>
      </w:r>
      <w:r w:rsidR="002F1AD3">
        <w:rPr>
          <w:rFonts w:ascii="Calibri" w:hAnsi="Calibri"/>
        </w:rPr>
        <w:t xml:space="preserve">2019 </w:t>
      </w:r>
      <w:r w:rsidRPr="00AE677F">
        <w:rPr>
          <w:rFonts w:ascii="Calibri" w:hAnsi="Calibri"/>
        </w:rPr>
        <w:t xml:space="preserve">ha </w:t>
      </w:r>
      <w:r w:rsidR="00F36FF9">
        <w:rPr>
          <w:rFonts w:ascii="Calibri" w:hAnsi="Calibri"/>
        </w:rPr>
        <w:t>mejorado;</w:t>
      </w:r>
      <w:r w:rsidR="002F1AD3">
        <w:rPr>
          <w:rFonts w:ascii="Calibri" w:hAnsi="Calibri"/>
        </w:rPr>
        <w:t xml:space="preserve"> sin embargo</w:t>
      </w:r>
      <w:r w:rsidR="00F36FF9">
        <w:rPr>
          <w:rFonts w:ascii="Calibri" w:hAnsi="Calibri"/>
        </w:rPr>
        <w:t>,</w:t>
      </w:r>
      <w:r w:rsidR="002F1AD3">
        <w:rPr>
          <w:rFonts w:ascii="Calibri" w:hAnsi="Calibri"/>
        </w:rPr>
        <w:t xml:space="preserve"> todavía está l</w:t>
      </w:r>
      <w:r w:rsidRPr="00AE677F">
        <w:rPr>
          <w:rFonts w:ascii="Calibri" w:hAnsi="Calibri"/>
        </w:rPr>
        <w:t>ej</w:t>
      </w:r>
      <w:r w:rsidR="002F1AD3">
        <w:rPr>
          <w:rFonts w:ascii="Calibri" w:hAnsi="Calibri"/>
        </w:rPr>
        <w:t>os</w:t>
      </w:r>
      <w:r w:rsidRPr="00AE677F">
        <w:rPr>
          <w:rFonts w:ascii="Calibri" w:hAnsi="Calibri"/>
        </w:rPr>
        <w:t xml:space="preserve"> de los países con menor percepción de corrupción. El 201</w:t>
      </w:r>
      <w:r w:rsidR="002F1AD3">
        <w:rPr>
          <w:rFonts w:ascii="Calibri" w:hAnsi="Calibri"/>
        </w:rPr>
        <w:t>8</w:t>
      </w:r>
      <w:r w:rsidRPr="00AE677F">
        <w:rPr>
          <w:rFonts w:ascii="Calibri" w:hAnsi="Calibri"/>
        </w:rPr>
        <w:t xml:space="preserve"> ocupaba el puesto 1</w:t>
      </w:r>
      <w:r w:rsidR="002F1AD3">
        <w:rPr>
          <w:rFonts w:ascii="Calibri" w:hAnsi="Calibri"/>
        </w:rPr>
        <w:t>32</w:t>
      </w:r>
      <w:r w:rsidRPr="00AE677F">
        <w:rPr>
          <w:rFonts w:ascii="Calibri" w:hAnsi="Calibri"/>
        </w:rPr>
        <w:t xml:space="preserve">, </w:t>
      </w:r>
      <w:r w:rsidR="002F1AD3">
        <w:rPr>
          <w:rFonts w:ascii="Calibri" w:hAnsi="Calibri"/>
        </w:rPr>
        <w:t xml:space="preserve">la peor situación de la serie, </w:t>
      </w:r>
      <w:r w:rsidRPr="00AE677F">
        <w:rPr>
          <w:rFonts w:ascii="Calibri" w:hAnsi="Calibri"/>
        </w:rPr>
        <w:t xml:space="preserve">actualmente </w:t>
      </w:r>
      <w:r w:rsidR="002F1AD3">
        <w:rPr>
          <w:rFonts w:ascii="Calibri" w:hAnsi="Calibri"/>
        </w:rPr>
        <w:t>baj</w:t>
      </w:r>
      <w:r w:rsidR="001B7B80">
        <w:rPr>
          <w:rFonts w:ascii="Calibri" w:hAnsi="Calibri"/>
        </w:rPr>
        <w:t>ó</w:t>
      </w:r>
      <w:r w:rsidR="002F1AD3">
        <w:rPr>
          <w:rFonts w:ascii="Calibri" w:hAnsi="Calibri"/>
        </w:rPr>
        <w:t xml:space="preserve"> 9</w:t>
      </w:r>
      <w:r w:rsidRPr="00AE677F">
        <w:rPr>
          <w:rFonts w:ascii="Calibri" w:hAnsi="Calibri"/>
        </w:rPr>
        <w:t xml:space="preserve"> posiciones, situándose en el puesto 1</w:t>
      </w:r>
      <w:r w:rsidR="002F1AD3">
        <w:rPr>
          <w:rFonts w:ascii="Calibri" w:hAnsi="Calibri"/>
        </w:rPr>
        <w:t>23</w:t>
      </w:r>
      <w:r w:rsidRPr="00AE677F">
        <w:rPr>
          <w:rFonts w:ascii="Calibri" w:hAnsi="Calibri"/>
        </w:rPr>
        <w:t xml:space="preserve"> en la calificación </w:t>
      </w:r>
      <w:r w:rsidR="00955436">
        <w:rPr>
          <w:rFonts w:ascii="Calibri" w:hAnsi="Calibri"/>
        </w:rPr>
        <w:t>de TI</w:t>
      </w:r>
      <w:r w:rsidRPr="00AE677F">
        <w:rPr>
          <w:rFonts w:ascii="Calibri" w:hAnsi="Calibri"/>
        </w:rPr>
        <w:t>.</w:t>
      </w:r>
    </w:p>
    <w:p w14:paraId="49A383E7" w14:textId="43689BEF" w:rsidR="00AE677F" w:rsidRPr="00AE677F" w:rsidRDefault="002F1AD3" w:rsidP="00AE677F">
      <w:pPr>
        <w:ind w:left="360"/>
        <w:jc w:val="center"/>
        <w:rPr>
          <w:rFonts w:ascii="Calibri" w:hAnsi="Calibri"/>
        </w:rPr>
      </w:pPr>
      <w:r w:rsidRPr="002F1AD3">
        <w:rPr>
          <w:noProof/>
        </w:rPr>
        <w:drawing>
          <wp:inline distT="0" distB="0" distL="0" distR="0" wp14:anchorId="6F9B7B91" wp14:editId="1F94BD16">
            <wp:extent cx="3775295" cy="248265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440" cy="248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819A0" w14:textId="750F86D0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>Comparando los datos en Sudamérica, Uruguay continúa siendo el país con mejor posición con un puntaje de 7</w:t>
      </w:r>
      <w:r w:rsidR="00C562CE">
        <w:rPr>
          <w:rFonts w:ascii="Calibri" w:hAnsi="Calibri"/>
        </w:rPr>
        <w:t>1</w:t>
      </w:r>
      <w:r w:rsidRPr="00AE677F">
        <w:rPr>
          <w:rFonts w:ascii="Calibri" w:hAnsi="Calibri"/>
        </w:rPr>
        <w:t xml:space="preserve"> en el IPC y ocupa la posición 2</w:t>
      </w:r>
      <w:r w:rsidR="00C562CE">
        <w:rPr>
          <w:rFonts w:ascii="Calibri" w:hAnsi="Calibri"/>
        </w:rPr>
        <w:t>1</w:t>
      </w:r>
      <w:r w:rsidR="00F36FF9">
        <w:rPr>
          <w:rFonts w:ascii="Calibri" w:hAnsi="Calibri"/>
        </w:rPr>
        <w:t>;</w:t>
      </w:r>
      <w:r w:rsidRPr="00AE677F">
        <w:rPr>
          <w:rFonts w:ascii="Calibri" w:hAnsi="Calibri"/>
        </w:rPr>
        <w:t xml:space="preserve"> en contrapartida, Venezuela continúa siendo el peor posicionado, con un puntaje de 1</w:t>
      </w:r>
      <w:r w:rsidR="00C562CE">
        <w:rPr>
          <w:rFonts w:ascii="Calibri" w:hAnsi="Calibri"/>
        </w:rPr>
        <w:t>6</w:t>
      </w:r>
      <w:r w:rsidRPr="00AE677F">
        <w:rPr>
          <w:rFonts w:ascii="Calibri" w:hAnsi="Calibri"/>
        </w:rPr>
        <w:t xml:space="preserve"> y en la posición 1</w:t>
      </w:r>
      <w:r w:rsidR="00C562CE">
        <w:rPr>
          <w:rFonts w:ascii="Calibri" w:hAnsi="Calibri"/>
        </w:rPr>
        <w:t>73</w:t>
      </w:r>
      <w:r w:rsidRPr="00AE677F">
        <w:rPr>
          <w:rFonts w:ascii="Calibri" w:hAnsi="Calibri"/>
        </w:rPr>
        <w:t>.</w:t>
      </w:r>
    </w:p>
    <w:p w14:paraId="4ECBC765" w14:textId="04989A0E" w:rsidR="00AE677F" w:rsidRPr="00AE677F" w:rsidRDefault="00F36FF9" w:rsidP="00AE677F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En </w:t>
      </w:r>
      <w:r w:rsidR="00AE677F" w:rsidRPr="00AE677F">
        <w:rPr>
          <w:rFonts w:ascii="Calibri" w:hAnsi="Calibri"/>
        </w:rPr>
        <w:t>Sudamérica</w:t>
      </w:r>
      <w:r>
        <w:rPr>
          <w:rFonts w:ascii="Calibri" w:hAnsi="Calibri"/>
        </w:rPr>
        <w:t>, el promedio de puntaje es</w:t>
      </w:r>
      <w:r w:rsidR="002F3A66">
        <w:rPr>
          <w:rFonts w:ascii="Calibri" w:hAnsi="Calibri"/>
        </w:rPr>
        <w:t xml:space="preserve"> de 41</w:t>
      </w:r>
      <w:r w:rsidR="00AE677F" w:rsidRPr="00AE677F">
        <w:rPr>
          <w:rFonts w:ascii="Calibri" w:hAnsi="Calibri"/>
        </w:rPr>
        <w:t>, Bolivia está en una situación más desfavorable en cuanto a la percepción de la corrupción</w:t>
      </w:r>
      <w:r w:rsidR="002F3A66">
        <w:rPr>
          <w:rFonts w:ascii="Calibri" w:hAnsi="Calibri"/>
        </w:rPr>
        <w:t xml:space="preserve"> </w:t>
      </w:r>
      <w:r w:rsidR="00C21CBC">
        <w:rPr>
          <w:rFonts w:ascii="Calibri" w:hAnsi="Calibri"/>
        </w:rPr>
        <w:t>al haber obtenido</w:t>
      </w:r>
      <w:r w:rsidR="002F3A66">
        <w:rPr>
          <w:rFonts w:ascii="Calibri" w:hAnsi="Calibri"/>
        </w:rPr>
        <w:t xml:space="preserve"> 10 puntos por</w:t>
      </w:r>
      <w:r w:rsidR="00C21CBC">
        <w:rPr>
          <w:rFonts w:ascii="Calibri" w:hAnsi="Calibri"/>
        </w:rPr>
        <w:t xml:space="preserve"> debajo del promedio</w:t>
      </w:r>
      <w:r w:rsidR="00AE677F" w:rsidRPr="00AE677F">
        <w:rPr>
          <w:rFonts w:ascii="Calibri" w:hAnsi="Calibri"/>
        </w:rPr>
        <w:t xml:space="preserve">; </w:t>
      </w:r>
      <w:r w:rsidR="002F3A66">
        <w:rPr>
          <w:rFonts w:ascii="Calibri" w:hAnsi="Calibri"/>
        </w:rPr>
        <w:t>s</w:t>
      </w:r>
      <w:r w:rsidR="00C21CBC">
        <w:rPr>
          <w:rFonts w:ascii="Calibri" w:hAnsi="Calibri"/>
        </w:rPr>
        <w:t>o</w:t>
      </w:r>
      <w:r w:rsidR="00AE677F" w:rsidRPr="00AE677F">
        <w:rPr>
          <w:rFonts w:ascii="Calibri" w:hAnsi="Calibri"/>
        </w:rPr>
        <w:t>lo Paraguay y Venezuela tienen mayor</w:t>
      </w:r>
      <w:r w:rsidR="002F3A66">
        <w:rPr>
          <w:rFonts w:ascii="Calibri" w:hAnsi="Calibri"/>
        </w:rPr>
        <w:t>es niveles de</w:t>
      </w:r>
      <w:r w:rsidR="00AE677F" w:rsidRPr="00AE677F">
        <w:rPr>
          <w:rFonts w:ascii="Calibri" w:hAnsi="Calibri"/>
        </w:rPr>
        <w:t xml:space="preserve"> percepción de corrupción en comparación </w:t>
      </w:r>
      <w:r w:rsidR="00C21CBC">
        <w:rPr>
          <w:rFonts w:ascii="Calibri" w:hAnsi="Calibri"/>
        </w:rPr>
        <w:t>con e</w:t>
      </w:r>
      <w:r w:rsidR="00AE677F" w:rsidRPr="00AE677F">
        <w:rPr>
          <w:rFonts w:ascii="Calibri" w:hAnsi="Calibri"/>
        </w:rPr>
        <w:t>l país.</w:t>
      </w:r>
    </w:p>
    <w:p w14:paraId="7AAD5756" w14:textId="1D0090B6" w:rsidR="00AE677F" w:rsidRPr="00AE677F" w:rsidRDefault="00AE677F" w:rsidP="00AE677F">
      <w:pPr>
        <w:jc w:val="both"/>
        <w:rPr>
          <w:rFonts w:ascii="Calibri" w:hAnsi="Calibri"/>
        </w:rPr>
      </w:pPr>
      <w:r w:rsidRPr="00AE677F">
        <w:rPr>
          <w:rFonts w:ascii="Calibri" w:hAnsi="Calibri"/>
        </w:rPr>
        <w:t xml:space="preserve">En el ámbito mundial, la puntuación media es de 43. Bolivia se encuentra </w:t>
      </w:r>
      <w:r w:rsidR="00C562CE">
        <w:rPr>
          <w:rFonts w:ascii="Calibri" w:hAnsi="Calibri"/>
        </w:rPr>
        <w:t xml:space="preserve">en situación de desventaja </w:t>
      </w:r>
      <w:r w:rsidRPr="00AE677F">
        <w:rPr>
          <w:rFonts w:ascii="Calibri" w:hAnsi="Calibri"/>
        </w:rPr>
        <w:t xml:space="preserve">por debajo </w:t>
      </w:r>
      <w:r w:rsidR="00C562CE">
        <w:rPr>
          <w:rFonts w:ascii="Calibri" w:hAnsi="Calibri"/>
        </w:rPr>
        <w:t>en 12 puntos</w:t>
      </w:r>
      <w:r w:rsidRPr="00AE677F">
        <w:rPr>
          <w:rFonts w:ascii="Calibri" w:hAnsi="Calibri"/>
        </w:rPr>
        <w:t>. Como referencia, los principales países con menor percepci</w:t>
      </w:r>
      <w:r w:rsidR="00C21CBC">
        <w:rPr>
          <w:rFonts w:ascii="Calibri" w:hAnsi="Calibri"/>
        </w:rPr>
        <w:t>ón</w:t>
      </w:r>
      <w:r w:rsidRPr="00AE677F">
        <w:rPr>
          <w:rFonts w:ascii="Calibri" w:hAnsi="Calibri"/>
        </w:rPr>
        <w:t xml:space="preserve"> de corrupción son Dinamarca y Nueva Zelanda, con calificaci</w:t>
      </w:r>
      <w:r w:rsidR="00C562CE">
        <w:rPr>
          <w:rFonts w:ascii="Calibri" w:hAnsi="Calibri"/>
        </w:rPr>
        <w:t>ó</w:t>
      </w:r>
      <w:r w:rsidRPr="00AE677F">
        <w:rPr>
          <w:rFonts w:ascii="Calibri" w:hAnsi="Calibri"/>
        </w:rPr>
        <w:t xml:space="preserve">n de </w:t>
      </w:r>
      <w:r w:rsidRPr="00AE677F">
        <w:rPr>
          <w:rFonts w:ascii="Calibri" w:hAnsi="Calibri"/>
        </w:rPr>
        <w:lastRenderedPageBreak/>
        <w:t xml:space="preserve">87. </w:t>
      </w:r>
      <w:r w:rsidR="00C21CBC">
        <w:rPr>
          <w:rFonts w:ascii="Calibri" w:hAnsi="Calibri"/>
        </w:rPr>
        <w:t>Contrariamente, l</w:t>
      </w:r>
      <w:r w:rsidRPr="00AE677F">
        <w:rPr>
          <w:rFonts w:ascii="Calibri" w:hAnsi="Calibri"/>
        </w:rPr>
        <w:t xml:space="preserve">os países con mayores grados de percepción de corrupción son </w:t>
      </w:r>
      <w:r w:rsidR="00C562CE">
        <w:rPr>
          <w:rFonts w:ascii="Calibri" w:hAnsi="Calibri"/>
        </w:rPr>
        <w:t xml:space="preserve">Siria, </w:t>
      </w:r>
      <w:r w:rsidRPr="00AE677F">
        <w:rPr>
          <w:rFonts w:ascii="Calibri" w:hAnsi="Calibri"/>
        </w:rPr>
        <w:t>Sudán del Sur</w:t>
      </w:r>
      <w:r w:rsidR="00C562CE">
        <w:rPr>
          <w:rFonts w:ascii="Calibri" w:hAnsi="Calibri"/>
        </w:rPr>
        <w:t xml:space="preserve"> y </w:t>
      </w:r>
      <w:r w:rsidR="00C562CE" w:rsidRPr="00AE677F">
        <w:rPr>
          <w:rFonts w:ascii="Calibri" w:hAnsi="Calibri"/>
        </w:rPr>
        <w:t>Somalia,</w:t>
      </w:r>
      <w:r w:rsidRPr="00AE677F">
        <w:rPr>
          <w:rFonts w:ascii="Calibri" w:hAnsi="Calibri"/>
        </w:rPr>
        <w:t xml:space="preserve"> con 1</w:t>
      </w:r>
      <w:r w:rsidR="00C562CE">
        <w:rPr>
          <w:rFonts w:ascii="Calibri" w:hAnsi="Calibri"/>
        </w:rPr>
        <w:t>3</w:t>
      </w:r>
      <w:r w:rsidRPr="00AE677F">
        <w:rPr>
          <w:rFonts w:ascii="Calibri" w:hAnsi="Calibri"/>
        </w:rPr>
        <w:t>, 1</w:t>
      </w:r>
      <w:r w:rsidR="00C562CE">
        <w:rPr>
          <w:rFonts w:ascii="Calibri" w:hAnsi="Calibri"/>
        </w:rPr>
        <w:t>2</w:t>
      </w:r>
      <w:r w:rsidRPr="00AE677F">
        <w:rPr>
          <w:rFonts w:ascii="Calibri" w:hAnsi="Calibri"/>
        </w:rPr>
        <w:t xml:space="preserve"> y </w:t>
      </w:r>
      <w:r w:rsidR="00C562CE">
        <w:rPr>
          <w:rFonts w:ascii="Calibri" w:hAnsi="Calibri"/>
        </w:rPr>
        <w:t>9</w:t>
      </w:r>
      <w:r w:rsidRPr="00AE677F">
        <w:rPr>
          <w:rFonts w:ascii="Calibri" w:hAnsi="Calibri"/>
        </w:rPr>
        <w:t>, respectivamente.</w:t>
      </w:r>
    </w:p>
    <w:p w14:paraId="70B8DFC5" w14:textId="75C5276E" w:rsidR="00C562CE" w:rsidRDefault="00C562CE" w:rsidP="00AE677F">
      <w:pPr>
        <w:rPr>
          <w:rFonts w:ascii="Calibri" w:hAnsi="Calibri"/>
          <w:i/>
          <w:sz w:val="16"/>
          <w:szCs w:val="16"/>
        </w:rPr>
      </w:pPr>
      <w:r w:rsidRPr="00C562CE">
        <w:rPr>
          <w:noProof/>
        </w:rPr>
        <w:drawing>
          <wp:inline distT="0" distB="0" distL="0" distR="0" wp14:anchorId="16D1EEF4" wp14:editId="56E04BB4">
            <wp:extent cx="4848225" cy="3114675"/>
            <wp:effectExtent l="0" t="0" r="9525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6DF25" w14:textId="3C4411D2" w:rsidR="001C75BE" w:rsidRPr="00AE677F" w:rsidRDefault="00AE677F" w:rsidP="00AE677F">
      <w:pPr>
        <w:rPr>
          <w:rFonts w:ascii="Calibri" w:hAnsi="Calibri"/>
          <w:i/>
          <w:sz w:val="16"/>
          <w:szCs w:val="16"/>
        </w:rPr>
      </w:pPr>
      <w:r w:rsidRPr="00AE677F">
        <w:rPr>
          <w:rFonts w:ascii="Calibri" w:hAnsi="Calibri"/>
          <w:i/>
          <w:sz w:val="16"/>
          <w:szCs w:val="16"/>
        </w:rPr>
        <w:t>2</w:t>
      </w:r>
      <w:r w:rsidR="00900762">
        <w:rPr>
          <w:rFonts w:ascii="Calibri" w:hAnsi="Calibri"/>
          <w:i/>
          <w:sz w:val="16"/>
          <w:szCs w:val="16"/>
        </w:rPr>
        <w:t>3</w:t>
      </w:r>
      <w:r w:rsidRPr="00AE677F">
        <w:rPr>
          <w:rFonts w:ascii="Calibri" w:hAnsi="Calibri"/>
          <w:i/>
          <w:sz w:val="16"/>
          <w:szCs w:val="16"/>
        </w:rPr>
        <w:t xml:space="preserve"> de enero </w:t>
      </w:r>
      <w:r w:rsidR="00C21CBC">
        <w:rPr>
          <w:rFonts w:ascii="Calibri" w:hAnsi="Calibri"/>
          <w:i/>
          <w:sz w:val="16"/>
          <w:szCs w:val="16"/>
        </w:rPr>
        <w:t xml:space="preserve">de </w:t>
      </w:r>
      <w:r w:rsidRPr="00AE677F">
        <w:rPr>
          <w:rFonts w:ascii="Calibri" w:hAnsi="Calibri"/>
          <w:i/>
          <w:sz w:val="16"/>
          <w:szCs w:val="16"/>
        </w:rPr>
        <w:t>20</w:t>
      </w:r>
      <w:r w:rsidR="00900762">
        <w:rPr>
          <w:rFonts w:ascii="Calibri" w:hAnsi="Calibri"/>
          <w:i/>
          <w:sz w:val="16"/>
          <w:szCs w:val="16"/>
        </w:rPr>
        <w:t>20</w:t>
      </w:r>
    </w:p>
    <w:sectPr w:rsidR="001C75BE" w:rsidRPr="00AE677F" w:rsidSect="001C75BE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E3583"/>
    <w:multiLevelType w:val="hybridMultilevel"/>
    <w:tmpl w:val="5C9436EA"/>
    <w:lvl w:ilvl="0" w:tplc="427057B0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51FBA"/>
    <w:multiLevelType w:val="hybridMultilevel"/>
    <w:tmpl w:val="F288D854"/>
    <w:lvl w:ilvl="0" w:tplc="546C0C3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5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211"/>
    <w:rsid w:val="000463E4"/>
    <w:rsid w:val="000974C0"/>
    <w:rsid w:val="0017078E"/>
    <w:rsid w:val="001B7B80"/>
    <w:rsid w:val="001C60D6"/>
    <w:rsid w:val="001C75BE"/>
    <w:rsid w:val="00202620"/>
    <w:rsid w:val="00213D4D"/>
    <w:rsid w:val="002E1EE5"/>
    <w:rsid w:val="002F1AD3"/>
    <w:rsid w:val="002F3A66"/>
    <w:rsid w:val="00380CB4"/>
    <w:rsid w:val="003B74CC"/>
    <w:rsid w:val="003F58B4"/>
    <w:rsid w:val="0040130B"/>
    <w:rsid w:val="004C4AAD"/>
    <w:rsid w:val="004D003D"/>
    <w:rsid w:val="00535D58"/>
    <w:rsid w:val="005C37CD"/>
    <w:rsid w:val="005D1211"/>
    <w:rsid w:val="00615FC6"/>
    <w:rsid w:val="0063487A"/>
    <w:rsid w:val="007118AB"/>
    <w:rsid w:val="0072754C"/>
    <w:rsid w:val="0078785F"/>
    <w:rsid w:val="007E1D14"/>
    <w:rsid w:val="00830A52"/>
    <w:rsid w:val="008439FE"/>
    <w:rsid w:val="0086688A"/>
    <w:rsid w:val="00900762"/>
    <w:rsid w:val="0090401B"/>
    <w:rsid w:val="00927D03"/>
    <w:rsid w:val="00955436"/>
    <w:rsid w:val="0096277C"/>
    <w:rsid w:val="009B2B28"/>
    <w:rsid w:val="00A70CDE"/>
    <w:rsid w:val="00A73D39"/>
    <w:rsid w:val="00AA1B77"/>
    <w:rsid w:val="00AE677F"/>
    <w:rsid w:val="00BE0AE8"/>
    <w:rsid w:val="00C21CBC"/>
    <w:rsid w:val="00C562CE"/>
    <w:rsid w:val="00CE4D48"/>
    <w:rsid w:val="00DD19BD"/>
    <w:rsid w:val="00DE10EC"/>
    <w:rsid w:val="00E86DFB"/>
    <w:rsid w:val="00EC0018"/>
    <w:rsid w:val="00F36FF9"/>
    <w:rsid w:val="00F578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E262D89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9AE"/>
    <w:pPr>
      <w:spacing w:after="200"/>
    </w:pPr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1211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121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3754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53CC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AE677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538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JUBILEO</Company>
  <LinksUpToDate>false</LinksUpToDate>
  <CharactersWithSpaces>3495</CharactersWithSpaces>
  <SharedDoc>false</SharedDoc>
  <HLinks>
    <vt:vector size="18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http://lauder.wharton.upenn.edu/pages/pdf/other/2014%20Global%20Go%20To%20Think%20Tank%20Index%20Report%201%2019%201130AM.pdf</vt:lpwstr>
      </vt:variant>
      <vt:variant>
        <vt:lpwstr/>
      </vt:variant>
      <vt:variant>
        <vt:i4>7536694</vt:i4>
      </vt:variant>
      <vt:variant>
        <vt:i4>4820</vt:i4>
      </vt:variant>
      <vt:variant>
        <vt:i4>1025</vt:i4>
      </vt:variant>
      <vt:variant>
        <vt:i4>1</vt:i4>
      </vt:variant>
      <vt:variant>
        <vt:lpwstr>Captura de pantalla 2015-02-06 a las 2</vt:lpwstr>
      </vt:variant>
      <vt:variant>
        <vt:lpwstr/>
      </vt:variant>
      <vt:variant>
        <vt:i4>7536694</vt:i4>
      </vt:variant>
      <vt:variant>
        <vt:i4>4821</vt:i4>
      </vt:variant>
      <vt:variant>
        <vt:i4>1026</vt:i4>
      </vt:variant>
      <vt:variant>
        <vt:i4>1</vt:i4>
      </vt:variant>
      <vt:variant>
        <vt:lpwstr>Captura de pantalla 2015-02-06 a las 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Jubileo MAC</dc:creator>
  <cp:lastModifiedBy>Microsoft Office User</cp:lastModifiedBy>
  <cp:revision>3</cp:revision>
  <cp:lastPrinted>2020-01-23T21:41:00Z</cp:lastPrinted>
  <dcterms:created xsi:type="dcterms:W3CDTF">2020-01-23T21:31:00Z</dcterms:created>
  <dcterms:modified xsi:type="dcterms:W3CDTF">2020-01-23T21:52:00Z</dcterms:modified>
</cp:coreProperties>
</file>