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emf" ContentType="image/x-emf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31141A" w:rsidRPr="007A2224" w:rsidRDefault="001456EA" w:rsidP="0031141A">
      <w:pPr>
        <w:jc w:val="center"/>
        <w:rPr>
          <w:b/>
          <w:color w:val="1F497D"/>
          <w:sz w:val="28"/>
        </w:rPr>
      </w:pPr>
      <w:r>
        <w:rPr>
          <w:noProof/>
          <w:sz w:val="12"/>
          <w:lang w:val="es-ES_tradnl" w:eastAsia="es-ES_tradnl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2305050</wp:posOffset>
            </wp:positionH>
            <wp:positionV relativeFrom="paragraph">
              <wp:posOffset>-342265</wp:posOffset>
            </wp:positionV>
            <wp:extent cx="950595" cy="567055"/>
            <wp:effectExtent l="0" t="0" r="1905" b="4445"/>
            <wp:wrapNone/>
            <wp:docPr id="9" name="Imagen 4" descr="Logo JUBILEO 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 descr="Logo JUBILEO 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595" cy="56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F6199" w:rsidRDefault="004371B5" w:rsidP="004371B5">
      <w:pPr>
        <w:spacing w:after="0" w:line="240" w:lineRule="auto"/>
        <w:jc w:val="center"/>
        <w:rPr>
          <w:b/>
        </w:rPr>
      </w:pPr>
      <w:r w:rsidRPr="004371B5">
        <w:rPr>
          <w:b/>
        </w:rPr>
        <w:t xml:space="preserve">EL INCREMENTO DE PRECIOS DE ALIMENTOS </w:t>
      </w:r>
    </w:p>
    <w:p w:rsidR="0031141A" w:rsidRDefault="004371B5" w:rsidP="004371B5">
      <w:pPr>
        <w:spacing w:after="0" w:line="240" w:lineRule="auto"/>
        <w:jc w:val="center"/>
        <w:rPr>
          <w:b/>
        </w:rPr>
      </w:pPr>
      <w:r w:rsidRPr="004371B5">
        <w:rPr>
          <w:b/>
        </w:rPr>
        <w:t>AL PRIMER BIMESTRE DE 2015 FUE DE 2%</w:t>
      </w:r>
    </w:p>
    <w:p w:rsidR="004371B5" w:rsidRDefault="004371B5" w:rsidP="004371B5">
      <w:pPr>
        <w:spacing w:after="0" w:line="240" w:lineRule="auto"/>
        <w:jc w:val="center"/>
        <w:rPr>
          <w:b/>
        </w:rPr>
      </w:pPr>
    </w:p>
    <w:p w:rsidR="0031141A" w:rsidRPr="007A2224" w:rsidRDefault="00CB5F36" w:rsidP="0031141A">
      <w:pPr>
        <w:pStyle w:val="Sinespaciado1"/>
        <w:jc w:val="center"/>
        <w:rPr>
          <w:rFonts w:ascii="Calibri" w:hAnsi="Calibri"/>
          <w:b/>
          <w:sz w:val="4"/>
          <w:szCs w:val="28"/>
        </w:rPr>
      </w:pPr>
      <w:r w:rsidRPr="00CB5F36">
        <w:rPr>
          <w:rFonts w:ascii="Calibri" w:hAnsi="Calibri" w:cs="MyriadPro-Regular"/>
          <w:i/>
          <w:noProof/>
          <w:sz w:val="4"/>
          <w:szCs w:val="24"/>
          <w:lang w:eastAsia="es-ES"/>
        </w:rPr>
        <w:pict>
          <v:roundrect id="AutoShape 7" o:spid="_x0000_s1026" style="position:absolute;left:0;text-align:left;margin-left:.75pt;margin-top:.7pt;width:443.35pt;height:62.4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" fillcolor="#e6f1ff" strokecolor="#4a7ebb" strokeweight="1.5pt">
            <v:fill opacity="64764f"/>
            <v:shadow on="t" opacity="22938f" offset="0"/>
            <v:textbox inset=",7.2pt,,7.2pt"/>
          </v:roundrect>
        </w:pict>
      </w:r>
    </w:p>
    <w:p w:rsidR="0031141A" w:rsidRDefault="0031141A" w:rsidP="0031141A">
      <w:pPr>
        <w:pStyle w:val="Sinespaciado1"/>
        <w:numPr>
          <w:ilvl w:val="0"/>
          <w:numId w:val="1"/>
        </w:numPr>
        <w:spacing w:before="120" w:after="120"/>
        <w:rPr>
          <w:rFonts w:ascii="Calibri" w:hAnsi="Calibri" w:cs="MyriadPro-Regular"/>
          <w:i/>
          <w:szCs w:val="24"/>
        </w:rPr>
      </w:pPr>
      <w:r>
        <w:rPr>
          <w:rFonts w:ascii="Calibri" w:hAnsi="Calibri" w:cs="MyriadPro-Regular"/>
          <w:i/>
          <w:szCs w:val="24"/>
        </w:rPr>
        <w:t xml:space="preserve">En </w:t>
      </w:r>
      <w:r w:rsidR="007F6199">
        <w:rPr>
          <w:rFonts w:ascii="Calibri" w:hAnsi="Calibri" w:cs="MyriadPro-Regular"/>
          <w:i/>
          <w:szCs w:val="24"/>
        </w:rPr>
        <w:t>febrero</w:t>
      </w:r>
      <w:r w:rsidR="00B23734">
        <w:rPr>
          <w:rFonts w:ascii="Calibri" w:hAnsi="Calibri" w:cs="MyriadPro-Regular"/>
          <w:i/>
          <w:szCs w:val="24"/>
        </w:rPr>
        <w:t>,</w:t>
      </w:r>
      <w:r w:rsidR="007F6199">
        <w:rPr>
          <w:rFonts w:ascii="Calibri" w:hAnsi="Calibri" w:cs="MyriadPro-Regular"/>
          <w:i/>
          <w:szCs w:val="24"/>
        </w:rPr>
        <w:t xml:space="preserve"> </w:t>
      </w:r>
      <w:r w:rsidR="00B23734">
        <w:rPr>
          <w:rFonts w:ascii="Calibri" w:hAnsi="Calibri" w:cs="MyriadPro-Regular"/>
          <w:i/>
          <w:szCs w:val="24"/>
        </w:rPr>
        <w:t>los</w:t>
      </w:r>
      <w:r w:rsidR="007F6199">
        <w:rPr>
          <w:rFonts w:ascii="Calibri" w:hAnsi="Calibri" w:cs="MyriadPro-Regular"/>
          <w:i/>
          <w:szCs w:val="24"/>
        </w:rPr>
        <w:t xml:space="preserve"> precio</w:t>
      </w:r>
      <w:r w:rsidR="00B23734">
        <w:rPr>
          <w:rFonts w:ascii="Calibri" w:hAnsi="Calibri" w:cs="MyriadPro-Regular"/>
          <w:i/>
          <w:szCs w:val="24"/>
        </w:rPr>
        <w:t>s</w:t>
      </w:r>
      <w:r w:rsidR="007F6199">
        <w:rPr>
          <w:rFonts w:ascii="Calibri" w:hAnsi="Calibri" w:cs="MyriadPro-Regular"/>
          <w:i/>
          <w:szCs w:val="24"/>
        </w:rPr>
        <w:t xml:space="preserve"> de</w:t>
      </w:r>
      <w:r>
        <w:rPr>
          <w:rFonts w:ascii="Calibri" w:hAnsi="Calibri" w:cs="MyriadPro-Regular"/>
          <w:i/>
          <w:szCs w:val="24"/>
        </w:rPr>
        <w:t xml:space="preserve"> los alimentos subi</w:t>
      </w:r>
      <w:r w:rsidR="00B23734">
        <w:rPr>
          <w:rFonts w:ascii="Calibri" w:hAnsi="Calibri" w:cs="MyriadPro-Regular"/>
          <w:i/>
          <w:szCs w:val="24"/>
        </w:rPr>
        <w:t>eron</w:t>
      </w:r>
      <w:r>
        <w:rPr>
          <w:rFonts w:ascii="Calibri" w:hAnsi="Calibri" w:cs="MyriadPro-Regular"/>
          <w:i/>
          <w:szCs w:val="24"/>
        </w:rPr>
        <w:t xml:space="preserve"> en </w:t>
      </w:r>
      <w:r w:rsidR="007F6199">
        <w:rPr>
          <w:rFonts w:ascii="Calibri" w:hAnsi="Calibri" w:cs="MyriadPro-Regular"/>
          <w:i/>
          <w:szCs w:val="24"/>
        </w:rPr>
        <w:t>0</w:t>
      </w:r>
      <w:r>
        <w:rPr>
          <w:rFonts w:ascii="Calibri" w:hAnsi="Calibri" w:cs="MyriadPro-Regular"/>
          <w:i/>
          <w:szCs w:val="24"/>
        </w:rPr>
        <w:t>,</w:t>
      </w:r>
      <w:r w:rsidR="007F6199">
        <w:rPr>
          <w:rFonts w:ascii="Calibri" w:hAnsi="Calibri" w:cs="MyriadPro-Regular"/>
          <w:i/>
          <w:szCs w:val="24"/>
        </w:rPr>
        <w:t>11</w:t>
      </w:r>
      <w:r>
        <w:rPr>
          <w:rFonts w:ascii="Calibri" w:hAnsi="Calibri" w:cs="MyriadPro-Regular"/>
          <w:i/>
          <w:szCs w:val="24"/>
        </w:rPr>
        <w:t>%</w:t>
      </w:r>
      <w:r w:rsidR="00F17F88">
        <w:rPr>
          <w:rFonts w:ascii="Calibri" w:hAnsi="Calibri" w:cs="MyriadPro-Regular"/>
          <w:i/>
          <w:szCs w:val="24"/>
        </w:rPr>
        <w:t>, tasa menor al mes de enero.</w:t>
      </w:r>
    </w:p>
    <w:p w:rsidR="0031141A" w:rsidRDefault="0048123D" w:rsidP="0031141A">
      <w:pPr>
        <w:pStyle w:val="Sinespaciado1"/>
        <w:numPr>
          <w:ilvl w:val="0"/>
          <w:numId w:val="1"/>
        </w:numPr>
        <w:spacing w:before="120" w:after="120"/>
        <w:rPr>
          <w:rFonts w:ascii="Calibri" w:hAnsi="Calibri" w:cs="MyriadPro-Regular"/>
          <w:i/>
          <w:szCs w:val="24"/>
        </w:rPr>
      </w:pPr>
      <w:r>
        <w:rPr>
          <w:rFonts w:ascii="Calibri" w:hAnsi="Calibri" w:cs="MyriadPro-Regular"/>
          <w:i/>
          <w:szCs w:val="24"/>
        </w:rPr>
        <w:t>En Tarija</w:t>
      </w:r>
      <w:r w:rsidR="00B23734">
        <w:rPr>
          <w:rFonts w:ascii="Calibri" w:hAnsi="Calibri" w:cs="MyriadPro-Regular"/>
          <w:i/>
          <w:szCs w:val="24"/>
        </w:rPr>
        <w:t>,</w:t>
      </w:r>
      <w:r>
        <w:rPr>
          <w:rFonts w:ascii="Calibri" w:hAnsi="Calibri" w:cs="MyriadPro-Regular"/>
          <w:i/>
          <w:szCs w:val="24"/>
        </w:rPr>
        <w:t xml:space="preserve"> </w:t>
      </w:r>
      <w:r w:rsidR="00BA19C6">
        <w:rPr>
          <w:rFonts w:ascii="Calibri" w:hAnsi="Calibri" w:cs="MyriadPro-Regular"/>
          <w:i/>
          <w:szCs w:val="24"/>
        </w:rPr>
        <w:t>en promedio</w:t>
      </w:r>
      <w:r w:rsidR="00B23734">
        <w:rPr>
          <w:rFonts w:ascii="Calibri" w:hAnsi="Calibri" w:cs="MyriadPro-Regular"/>
          <w:i/>
          <w:szCs w:val="24"/>
        </w:rPr>
        <w:t>,</w:t>
      </w:r>
      <w:r w:rsidR="00BA19C6">
        <w:rPr>
          <w:rFonts w:ascii="Calibri" w:hAnsi="Calibri" w:cs="MyriadPro-Regular"/>
          <w:i/>
          <w:szCs w:val="24"/>
        </w:rPr>
        <w:t xml:space="preserve"> los </w:t>
      </w:r>
      <w:r w:rsidR="00B23734">
        <w:rPr>
          <w:rFonts w:ascii="Calibri" w:hAnsi="Calibri" w:cs="MyriadPro-Regular"/>
          <w:i/>
          <w:szCs w:val="24"/>
        </w:rPr>
        <w:t>precios de</w:t>
      </w:r>
      <w:r w:rsidR="00BA19C6">
        <w:rPr>
          <w:rFonts w:ascii="Calibri" w:hAnsi="Calibri" w:cs="MyriadPro-Regular"/>
          <w:i/>
          <w:szCs w:val="24"/>
        </w:rPr>
        <w:t xml:space="preserve"> alimentos </w:t>
      </w:r>
      <w:r w:rsidR="00B23734">
        <w:rPr>
          <w:rFonts w:ascii="Calibri" w:hAnsi="Calibri" w:cs="MyriadPro-Regular"/>
          <w:i/>
          <w:szCs w:val="24"/>
        </w:rPr>
        <w:t>bajaron en 1,9%</w:t>
      </w:r>
      <w:r w:rsidR="00BA19C6">
        <w:rPr>
          <w:rFonts w:ascii="Calibri" w:hAnsi="Calibri" w:cs="MyriadPro-Regular"/>
          <w:i/>
          <w:szCs w:val="24"/>
        </w:rPr>
        <w:t xml:space="preserve"> hasta febrero respecto </w:t>
      </w:r>
      <w:r w:rsidR="00B23734">
        <w:rPr>
          <w:rFonts w:ascii="Calibri" w:hAnsi="Calibri" w:cs="MyriadPro-Regular"/>
          <w:i/>
          <w:szCs w:val="24"/>
        </w:rPr>
        <w:t>a</w:t>
      </w:r>
      <w:r w:rsidR="00BA19C6">
        <w:rPr>
          <w:rFonts w:ascii="Calibri" w:hAnsi="Calibri" w:cs="MyriadPro-Regular"/>
          <w:i/>
          <w:szCs w:val="24"/>
        </w:rPr>
        <w:t xml:space="preserve"> diciembre de la pasada gestión</w:t>
      </w:r>
      <w:r w:rsidR="0031141A">
        <w:rPr>
          <w:rFonts w:ascii="Calibri" w:hAnsi="Calibri" w:cs="MyriadPro-Regular"/>
          <w:i/>
          <w:szCs w:val="24"/>
        </w:rPr>
        <w:t>.</w:t>
      </w:r>
    </w:p>
    <w:p w:rsidR="0031141A" w:rsidRDefault="0031141A" w:rsidP="0031141A">
      <w:pPr>
        <w:jc w:val="both"/>
      </w:pPr>
    </w:p>
    <w:p w:rsidR="0031141A" w:rsidRDefault="007F6199" w:rsidP="0031141A">
      <w:pPr>
        <w:jc w:val="both"/>
      </w:pPr>
      <w:r>
        <w:t>A</w:t>
      </w:r>
      <w:r w:rsidR="0031141A">
        <w:t xml:space="preserve">l primer </w:t>
      </w:r>
      <w:r>
        <w:t xml:space="preserve">bimestre de </w:t>
      </w:r>
      <w:r w:rsidR="0031141A">
        <w:t xml:space="preserve">este año, </w:t>
      </w:r>
      <w:r w:rsidR="00B23734">
        <w:t>los precios</w:t>
      </w:r>
      <w:r w:rsidR="0031141A">
        <w:t xml:space="preserve"> de los alimentos registr</w:t>
      </w:r>
      <w:r w:rsidR="00B23734">
        <w:t>aron</w:t>
      </w:r>
      <w:r w:rsidR="0031141A">
        <w:t xml:space="preserve"> un incremento de </w:t>
      </w:r>
      <w:r>
        <w:t>2</w:t>
      </w:r>
      <w:r w:rsidR="0031141A">
        <w:t>%</w:t>
      </w:r>
      <w:r>
        <w:t xml:space="preserve">. </w:t>
      </w:r>
      <w:r w:rsidR="0031141A">
        <w:t xml:space="preserve">La tasa del mes </w:t>
      </w:r>
      <w:r>
        <w:t xml:space="preserve">de febrero </w:t>
      </w:r>
      <w:r w:rsidR="0031141A">
        <w:t xml:space="preserve">de la presente gestión </w:t>
      </w:r>
      <w:r>
        <w:t xml:space="preserve">0,11% </w:t>
      </w:r>
      <w:r w:rsidR="0031141A">
        <w:t xml:space="preserve">es </w:t>
      </w:r>
      <w:r>
        <w:t xml:space="preserve">menor </w:t>
      </w:r>
      <w:r w:rsidR="0031141A">
        <w:t>a la</w:t>
      </w:r>
      <w:r w:rsidR="00F17F88">
        <w:t>s</w:t>
      </w:r>
      <w:r w:rsidR="0031141A">
        <w:t xml:space="preserve"> </w:t>
      </w:r>
      <w:r>
        <w:t>registrada</w:t>
      </w:r>
      <w:r w:rsidR="00F17F88">
        <w:t>s</w:t>
      </w:r>
      <w:r>
        <w:t xml:space="preserve"> </w:t>
      </w:r>
      <w:r w:rsidR="0031141A">
        <w:t>d</w:t>
      </w:r>
      <w:r>
        <w:t xml:space="preserve">urante </w:t>
      </w:r>
      <w:r w:rsidR="0031141A">
        <w:t xml:space="preserve">los </w:t>
      </w:r>
      <w:r>
        <w:t>tres m</w:t>
      </w:r>
      <w:r w:rsidR="0031141A">
        <w:t>eses anteriores.</w:t>
      </w:r>
    </w:p>
    <w:p w:rsidR="0031141A" w:rsidRDefault="0031141A" w:rsidP="0031141A">
      <w:pPr>
        <w:jc w:val="both"/>
      </w:pPr>
      <w:r>
        <w:t xml:space="preserve">Según datos del INE, la variación de precios del promedio general de bienes y servicios en el mes de </w:t>
      </w:r>
      <w:r w:rsidR="007F6199">
        <w:t xml:space="preserve">febrero </w:t>
      </w:r>
      <w:r>
        <w:t xml:space="preserve">de 2015 </w:t>
      </w:r>
      <w:r w:rsidR="00AD6184">
        <w:t xml:space="preserve">respecto a enero </w:t>
      </w:r>
      <w:r>
        <w:t>fue de 0,</w:t>
      </w:r>
      <w:r w:rsidR="007F6199">
        <w:t>34</w:t>
      </w:r>
      <w:r>
        <w:t xml:space="preserve">%; mientras los precios de los alimentos incrementaron en </w:t>
      </w:r>
      <w:r w:rsidR="007F6199">
        <w:t>0</w:t>
      </w:r>
      <w:r>
        <w:t>,</w:t>
      </w:r>
      <w:r w:rsidR="007F6199">
        <w:t>11</w:t>
      </w:r>
      <w:r w:rsidR="00B23734">
        <w:t>%. E</w:t>
      </w:r>
      <w:r w:rsidR="00AD6184">
        <w:t>ntonces</w:t>
      </w:r>
      <w:r w:rsidR="00B23734">
        <w:t>,</w:t>
      </w:r>
      <w:r w:rsidR="007F6199">
        <w:t xml:space="preserve"> la variación promedio de los precios de los alim</w:t>
      </w:r>
      <w:r w:rsidR="00B23734">
        <w:t>entos durante el mes de febrero</w:t>
      </w:r>
      <w:r w:rsidR="007F6199">
        <w:t xml:space="preserve"> es menor al incremento promedio de precios del conjunto de bienes y servicios</w:t>
      </w:r>
      <w:r>
        <w:t>.</w:t>
      </w:r>
    </w:p>
    <w:p w:rsidR="0031141A" w:rsidRDefault="007F6199" w:rsidP="0031141A">
      <w:pPr>
        <w:jc w:val="center"/>
      </w:pPr>
      <w:r w:rsidRPr="007F6199">
        <w:rPr>
          <w:noProof/>
          <w:lang w:val="es-ES_tradnl" w:eastAsia="es-ES_tradnl"/>
        </w:rPr>
        <w:drawing>
          <wp:inline distT="0" distB="0" distL="0" distR="0">
            <wp:extent cx="4391025" cy="1946628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5826" cy="1948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2D4B" w:rsidRDefault="00C16240" w:rsidP="00422D4B">
      <w:pPr>
        <w:jc w:val="both"/>
      </w:pPr>
      <w:r>
        <w:t>Respecto de l</w:t>
      </w:r>
      <w:r w:rsidR="00422D4B">
        <w:t>a variación acumulada del precio de los alimentos</w:t>
      </w:r>
      <w:r w:rsidR="00FC3D17">
        <w:t>,</w:t>
      </w:r>
      <w:r w:rsidR="00422D4B">
        <w:t xml:space="preserve"> hasta febrero </w:t>
      </w:r>
      <w:r w:rsidR="00A11A3E">
        <w:t>al</w:t>
      </w:r>
      <w:r w:rsidR="00FC3D17">
        <w:t>canzó a</w:t>
      </w:r>
      <w:r w:rsidR="00422D4B">
        <w:t xml:space="preserve"> 2%</w:t>
      </w:r>
      <w:r>
        <w:t>,</w:t>
      </w:r>
      <w:r w:rsidR="00422D4B">
        <w:t xml:space="preserve"> </w:t>
      </w:r>
      <w:r w:rsidR="00FC3D17">
        <w:t xml:space="preserve">cifra </w:t>
      </w:r>
      <w:r w:rsidR="00422D4B">
        <w:t xml:space="preserve">superior a la tasa </w:t>
      </w:r>
      <w:r>
        <w:t>acumulad</w:t>
      </w:r>
      <w:r w:rsidR="00F17F88">
        <w:t>a</w:t>
      </w:r>
      <w:r>
        <w:t xml:space="preserve"> </w:t>
      </w:r>
      <w:r w:rsidR="00422D4B">
        <w:t>general de bienes y servicios de 1,3%.</w:t>
      </w:r>
    </w:p>
    <w:p w:rsidR="00F17F88" w:rsidRDefault="0031141A" w:rsidP="0031141A">
      <w:pPr>
        <w:jc w:val="both"/>
      </w:pPr>
      <w:r>
        <w:t xml:space="preserve">Las ciudades de </w:t>
      </w:r>
      <w:r w:rsidR="00C16240">
        <w:t>La Paz</w:t>
      </w:r>
      <w:r>
        <w:t xml:space="preserve">, </w:t>
      </w:r>
      <w:r w:rsidR="00C16240">
        <w:t>3</w:t>
      </w:r>
      <w:r w:rsidR="00FC3D17">
        <w:t>%;</w:t>
      </w:r>
      <w:r>
        <w:t xml:space="preserve"> </w:t>
      </w:r>
      <w:r w:rsidR="00C16240">
        <w:t>Oruro</w:t>
      </w:r>
      <w:r w:rsidR="00FC3D17">
        <w:t>, 2,8%;</w:t>
      </w:r>
      <w:r w:rsidR="00C16240">
        <w:t xml:space="preserve"> Cochabamba</w:t>
      </w:r>
      <w:r w:rsidR="00FC3D17">
        <w:t>,</w:t>
      </w:r>
      <w:r w:rsidR="00C16240">
        <w:t xml:space="preserve"> 2,2% </w:t>
      </w:r>
      <w:r>
        <w:t>y Santa Cruz</w:t>
      </w:r>
      <w:r w:rsidR="00C16240">
        <w:t xml:space="preserve"> de la Sierra</w:t>
      </w:r>
      <w:r w:rsidR="00FC3D17">
        <w:t>,</w:t>
      </w:r>
      <w:r>
        <w:t xml:space="preserve"> con </w:t>
      </w:r>
      <w:r w:rsidR="00C16240">
        <w:t>2</w:t>
      </w:r>
      <w:r>
        <w:t>,</w:t>
      </w:r>
      <w:r w:rsidR="00C16240">
        <w:t>1</w:t>
      </w:r>
      <w:r>
        <w:t xml:space="preserve">%, </w:t>
      </w:r>
      <w:r w:rsidR="00C16240">
        <w:t>alcanzan en los dos primeros meses del año t</w:t>
      </w:r>
      <w:r>
        <w:t>asa</w:t>
      </w:r>
      <w:r w:rsidR="00C16240">
        <w:t>s</w:t>
      </w:r>
      <w:r>
        <w:t xml:space="preserve"> superior</w:t>
      </w:r>
      <w:r w:rsidR="00C16240">
        <w:t>es</w:t>
      </w:r>
      <w:r>
        <w:t xml:space="preserve"> al promedio nacional</w:t>
      </w:r>
      <w:r w:rsidR="00F17F88">
        <w:t>.</w:t>
      </w:r>
    </w:p>
    <w:p w:rsidR="0031141A" w:rsidRDefault="00F17F88" w:rsidP="0031141A">
      <w:pPr>
        <w:jc w:val="both"/>
      </w:pPr>
      <w:r>
        <w:t>E</w:t>
      </w:r>
      <w:r w:rsidR="0031141A">
        <w:t xml:space="preserve">n </w:t>
      </w:r>
      <w:r w:rsidR="00C16240">
        <w:t>la ciudad de Tarija</w:t>
      </w:r>
      <w:r w:rsidR="00FC3D17">
        <w:t>,</w:t>
      </w:r>
      <w:r w:rsidR="00C16240">
        <w:t xml:space="preserve"> </w:t>
      </w:r>
      <w:r>
        <w:t>durante el mes de febrero respecto de enero</w:t>
      </w:r>
      <w:r w:rsidR="00FC3D17">
        <w:t>,</w:t>
      </w:r>
      <w:r>
        <w:t xml:space="preserve"> se registró una reducción de precios de -2,2%, con lo cual la variación acumulada y comp</w:t>
      </w:r>
      <w:r w:rsidR="00FC3D17">
        <w:t>a</w:t>
      </w:r>
      <w:r>
        <w:t xml:space="preserve">rando los precios de esta ciudad </w:t>
      </w:r>
      <w:r w:rsidR="00FC3D17">
        <w:t>con</w:t>
      </w:r>
      <w:r>
        <w:t xml:space="preserve"> diciembre </w:t>
      </w:r>
      <w:r w:rsidR="00FC3D17">
        <w:t xml:space="preserve">del año pasado </w:t>
      </w:r>
      <w:r w:rsidR="0031141A">
        <w:t>se registr</w:t>
      </w:r>
      <w:r>
        <w:t>a</w:t>
      </w:r>
      <w:r w:rsidR="0031141A">
        <w:t xml:space="preserve"> </w:t>
      </w:r>
      <w:r>
        <w:t xml:space="preserve">una </w:t>
      </w:r>
      <w:r w:rsidR="00C16240">
        <w:t>reducción de -1,9%</w:t>
      </w:r>
      <w:r w:rsidR="0048123D">
        <w:t>.</w:t>
      </w:r>
    </w:p>
    <w:p w:rsidR="00BA19C6" w:rsidRDefault="00BA19C6" w:rsidP="0031141A">
      <w:pPr>
        <w:jc w:val="both"/>
      </w:pPr>
    </w:p>
    <w:p w:rsidR="0031141A" w:rsidRDefault="00C16240" w:rsidP="0031141A">
      <w:pPr>
        <w:jc w:val="center"/>
        <w:rPr>
          <w:b/>
        </w:rPr>
      </w:pPr>
      <w:r w:rsidRPr="00C16240">
        <w:rPr>
          <w:noProof/>
          <w:lang w:val="es-ES_tradnl" w:eastAsia="es-ES_tradnl"/>
        </w:rPr>
        <w:drawing>
          <wp:inline distT="0" distB="0" distL="0" distR="0">
            <wp:extent cx="4686300" cy="2732449"/>
            <wp:effectExtent l="0" t="0" r="0" b="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891" cy="2733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19C6" w:rsidRDefault="00BA19C6" w:rsidP="00BA19C6">
      <w:pPr>
        <w:jc w:val="both"/>
      </w:pPr>
      <w:r w:rsidRPr="00BA19C6">
        <w:t xml:space="preserve">El reporte oficial de INE muestra que </w:t>
      </w:r>
      <w:r>
        <w:t xml:space="preserve">principalmente </w:t>
      </w:r>
      <w:r w:rsidRPr="00BA19C6">
        <w:t xml:space="preserve">los alimentos que han reducido su precio en febrero respecto de enero </w:t>
      </w:r>
      <w:r>
        <w:t>fueron</w:t>
      </w:r>
      <w:r w:rsidRPr="00BA19C6">
        <w:t xml:space="preserve">: </w:t>
      </w:r>
      <w:r>
        <w:t xml:space="preserve">Tomate -10,6%, arveja -9,9%, uva -9,9%, zanahoria -5,1%, yuca -5,7% y manzana -1,9%. Los principales alimentos que han incrementado su precio en febrero respecto </w:t>
      </w:r>
      <w:r w:rsidR="00FC3D17">
        <w:t>a</w:t>
      </w:r>
      <w:r>
        <w:t xml:space="preserve"> enero fueron: L</w:t>
      </w:r>
      <w:r w:rsidRPr="00BA19C6">
        <w:t>echuga</w:t>
      </w:r>
      <w:r>
        <w:t xml:space="preserve"> </w:t>
      </w:r>
      <w:r w:rsidRPr="00BA19C6">
        <w:t>11,9%</w:t>
      </w:r>
      <w:r>
        <w:t>, l</w:t>
      </w:r>
      <w:r w:rsidRPr="00BA19C6">
        <w:t>ocoto</w:t>
      </w:r>
      <w:r>
        <w:t xml:space="preserve"> </w:t>
      </w:r>
      <w:r w:rsidRPr="00BA19C6">
        <w:t>11,1%</w:t>
      </w:r>
      <w:r>
        <w:t>, q</w:t>
      </w:r>
      <w:r w:rsidRPr="00BA19C6">
        <w:t>ueso criollo</w:t>
      </w:r>
      <w:r>
        <w:t xml:space="preserve"> </w:t>
      </w:r>
      <w:r w:rsidRPr="00BA19C6">
        <w:t>10,</w:t>
      </w:r>
      <w:r>
        <w:t>7</w:t>
      </w:r>
      <w:r w:rsidRPr="00BA19C6">
        <w:t>%</w:t>
      </w:r>
      <w:r>
        <w:t>, c</w:t>
      </w:r>
      <w:r w:rsidRPr="00BA19C6">
        <w:t>arne de pollo 7,2 %</w:t>
      </w:r>
      <w:r>
        <w:t xml:space="preserve"> y p</w:t>
      </w:r>
      <w:r w:rsidRPr="00BA19C6">
        <w:t>apa</w:t>
      </w:r>
      <w:r>
        <w:t xml:space="preserve"> </w:t>
      </w:r>
      <w:r w:rsidRPr="00BA19C6">
        <w:t>1,8%</w:t>
      </w:r>
      <w:r>
        <w:t>.</w:t>
      </w:r>
    </w:p>
    <w:p w:rsidR="0031141A" w:rsidRPr="00401D1E" w:rsidRDefault="0031141A" w:rsidP="0031141A">
      <w:pPr>
        <w:rPr>
          <w:sz w:val="16"/>
        </w:rPr>
      </w:pPr>
      <w:r>
        <w:rPr>
          <w:sz w:val="16"/>
        </w:rPr>
        <w:t>Fundación Jubileo</w:t>
      </w:r>
      <w:r>
        <w:rPr>
          <w:sz w:val="16"/>
        </w:rPr>
        <w:br/>
      </w:r>
      <w:r w:rsidR="0048123D">
        <w:rPr>
          <w:sz w:val="16"/>
        </w:rPr>
        <w:t>Marzo</w:t>
      </w:r>
      <w:r w:rsidRPr="00401D1E">
        <w:rPr>
          <w:sz w:val="16"/>
        </w:rPr>
        <w:t xml:space="preserve"> 201</w:t>
      </w:r>
      <w:r>
        <w:rPr>
          <w:sz w:val="16"/>
        </w:rPr>
        <w:t>5</w:t>
      </w:r>
      <w:bookmarkStart w:id="0" w:name="_GoBack"/>
      <w:bookmarkEnd w:id="0"/>
    </w:p>
    <w:sectPr w:rsidR="0031141A" w:rsidRPr="00401D1E" w:rsidSect="0031141A">
      <w:headerReference w:type="default" r:id="rId10"/>
      <w:footerReference w:type="default" r:id="rId11"/>
      <w:pgSz w:w="12240" w:h="15840" w:code="1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endnote w:type="separator" w:id="0">
    <w:p w:rsidR="00A11A3E" w:rsidRDefault="00A11A3E" w:rsidP="0031141A">
      <w:pPr>
        <w:spacing w:after="0" w:line="240" w:lineRule="auto"/>
      </w:pPr>
      <w:r>
        <w:separator/>
      </w:r>
    </w:p>
  </w:endnote>
  <w:endnote w:type="continuationSeparator" w:id="1">
    <w:p w:rsidR="00A11A3E" w:rsidRDefault="00A11A3E" w:rsidP="00311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A11A3E" w:rsidRPr="00531C65" w:rsidRDefault="00A11A3E">
    <w:pPr>
      <w:pStyle w:val="Piedepgina"/>
      <w:jc w:val="right"/>
      <w:rPr>
        <w:sz w:val="20"/>
      </w:rPr>
    </w:pPr>
    <w:fldSimple w:instr=" PAGE   \* MERGEFORMAT ">
      <w:r w:rsidR="007D3FB1">
        <w:rPr>
          <w:noProof/>
          <w:sz w:val="20"/>
        </w:rPr>
        <w:t>2</w:t>
      </w:r>
    </w:fldSimple>
  </w:p>
  <w:p w:rsidR="00A11A3E" w:rsidRPr="00531C65" w:rsidRDefault="00A11A3E">
    <w:pPr>
      <w:pStyle w:val="Piedepgina"/>
      <w:rPr>
        <w:sz w:val="20"/>
      </w:rPr>
    </w:pPr>
    <w:r w:rsidRPr="00CB5F36">
      <w:rPr>
        <w:noProof/>
        <w:sz w:val="20"/>
        <w:lang w:eastAsia="es-ES"/>
      </w:rPr>
      <w:pict>
        <v:rect id="Rectangle 4" o:spid="_x0000_s4096" style="position:absolute;margin-left:-11.3pt;margin-top:6.6pt;width:474pt;height:5.3pt;flip:y;z-index:251658240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wrapcoords="-34 0 -34 15428 21600 15428 21600 0 -34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" fillcolor="#036" stroked="f">
          <w10:wrap type="tight"/>
        </v:rect>
      </w:pict>
    </w:r>
  </w:p>
</w:ftr>
</file>

<file path=word/footnotes.xml><?xml version="1.0" encoding="utf-8"?>
<w:foot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footnote w:type="separator" w:id="0">
    <w:p w:rsidR="00A11A3E" w:rsidRDefault="00A11A3E" w:rsidP="0031141A">
      <w:pPr>
        <w:spacing w:after="0" w:line="240" w:lineRule="auto"/>
      </w:pPr>
      <w:r>
        <w:separator/>
      </w:r>
    </w:p>
  </w:footnote>
  <w:footnote w:type="continuationSeparator" w:id="1">
    <w:p w:rsidR="00A11A3E" w:rsidRDefault="00A11A3E" w:rsidP="00311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A11A3E" w:rsidRDefault="00A11A3E">
    <w:pPr>
      <w:pStyle w:val="Encabezado"/>
    </w:pPr>
    <w:r w:rsidRPr="00CB5F36">
      <w:rPr>
        <w:noProof/>
        <w:lang w:eastAsia="es-ES"/>
      </w:rPr>
      <w:pict>
        <v:group id="Group 1" o:spid="_x0000_s4097" style="position:absolute;margin-left:-11.3pt;margin-top:5.4pt;width:471pt;height:5.3pt;z-index:251657216" coordorigin="1699,3060" coordsize="8820,115" wrapcoords="-34 0 -34 3085 17369 15428 19329 15428 21634 15428 21668 0 -34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">
          <v:line id="Line 2" o:spid="_x0000_s4099" style="position:absolute;visibility:visible;mso-wrap-style:square" from="1699,3060" to="10519,30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mpDcMEAAADaAAAADwAAAGRycy9kb3ducmV2LnhtbESPQYvCMBSE78L+h/AEb5q6CypdoxRB&#10;cD1ZK3h9NG/bYvNSmmjqvzfCwh6HmfmGWW8H04oH9a6xrGA+S0AQl1Y3XCm4FPvpCoTzyBpby6Tg&#10;SQ62m4/RGlNtA+f0OPtKRAi7FBXU3neplK6syaCb2Y44er+2N+ij7CupewwRblr5mSQLabDhuFBj&#10;R7uaytv5bhRcs3Cd/xRZ8Ptlfgq702COy1ypyXjIvkF4Gvx/+K990Aq+4H0l3gC5eQ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aakNwwQAAANoAAAAPAAAAAAAAAAAAAAAA&#10;AKECAABkcnMvZG93bnJldi54bWxQSwUGAAAAAAQABAD5AAAAjwMAAAAA&#10;" strokecolor="#036"/>
          <v:rect id="Rectangle 3" o:spid="_x0000_s4098" style="position:absolute;left:9619;top:3060;width:900;height: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y8bcUA&#10;AADaAAAADwAAAGRycy9kb3ducmV2LnhtbESP3WrCQBSE7wXfYTlCb4puLEXa1FWkEpCCovEHvDtk&#10;T5PQ7NmQXU18e1coeDnMzDfMdN6ZSlypcaVlBeNRBII4s7rkXMFhnww/QDiPrLGyTApu5GA+6/em&#10;GGvb8o6uqc9FgLCLUUHhfR1L6bKCDLqRrYmD92sbgz7IJpe6wTbATSXfomgiDZYcFgqs6bug7C+9&#10;GAX75Ofcbj4n63P5elxu82R9ShdaqZdBt/gC4anzz/B/e6UVvMPjSrgBcn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bLxtxQAAANoAAAAPAAAAAAAAAAAAAAAAAJgCAABkcnMv&#10;ZG93bnJldi54bWxQSwUGAAAAAAQABAD1AAAAigMAAAAA&#10;" fillcolor="#036" stroked="f"/>
          <w10:wrap type="tight"/>
        </v:group>
      </w:pict>
    </w:r>
  </w:p>
</w:hdr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133474A8"/>
    <w:multiLevelType w:val="hybridMultilevel"/>
    <w:tmpl w:val="49EC645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0"/>
  <w:proofState w:spelling="clean" w:grammar="clean"/>
  <w:stylePaneFormatFilter w:val="3701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102">
      <o:colormru v:ext="edit" colors="#4c9fff,#e6f1ff"/>
    </o:shapedefaults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1C7E17"/>
    <w:rsid w:val="001456EA"/>
    <w:rsid w:val="001C7E17"/>
    <w:rsid w:val="0031141A"/>
    <w:rsid w:val="00422D4B"/>
    <w:rsid w:val="004371B5"/>
    <w:rsid w:val="0048123D"/>
    <w:rsid w:val="007D3FB1"/>
    <w:rsid w:val="007F6199"/>
    <w:rsid w:val="00970357"/>
    <w:rsid w:val="00A11A3E"/>
    <w:rsid w:val="00AD6184"/>
    <w:rsid w:val="00B23734"/>
    <w:rsid w:val="00BA19C6"/>
    <w:rsid w:val="00C16240"/>
    <w:rsid w:val="00CB5F36"/>
    <w:rsid w:val="00F17F88"/>
    <w:rsid w:val="00FC3D17"/>
  </w:rsids>
  <m:mathPr>
    <m:mathFont m:val="Impac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2">
      <o:colormru v:ext="edit" colors="#4c9fff,#e6f1f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 Spacing" w:qFormat="1"/>
    <w:lsdException w:name="Medium Grid 2" w:qFormat="1"/>
    <w:lsdException w:name="Medium Shading 1 Accent 1" w:qFormat="1"/>
    <w:lsdException w:name="List Paragraph" w:qFormat="1"/>
    <w:lsdException w:name="Quote" w:qFormat="1"/>
    <w:lsdException w:name="Intense Quote" w:qFormat="1"/>
    <w:lsdException w:name="Medium Grid 2 Accent 1" w:qFormat="1"/>
    <w:lsdException w:name="Colorful List Accent 1" w:qFormat="1"/>
    <w:lsdException w:name="Colorful Grid Accent 1" w:qFormat="1"/>
    <w:lsdException w:name="Light Shading Accent 2" w:qFormat="1"/>
    <w:lsdException w:name="Medium Shading 1 Accent 2" w:uiPriority="1" w:qFormat="1"/>
    <w:lsdException w:name="Medium Grid 1 Accent 2" w:qFormat="1"/>
    <w:lsdException w:name="Medium Grid 2 Accent 2" w:qFormat="1"/>
    <w:lsdException w:name="Medium Grid 3 Accent 2" w:qFormat="1"/>
    <w:lsdException w:name="Light Grid Accent 3" w:qFormat="1"/>
    <w:lsdException w:name="Medium Shading 1 Accent 3" w:qFormat="1"/>
    <w:lsdException w:name="Medium Shading 2 Accent 3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5450B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rsid w:val="00CA5CD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4D5B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semiHidden/>
    <w:unhideWhenUsed/>
  </w:style>
  <w:style w:type="table" w:default="1" w:styleId="Tabla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  <w:unhideWhenUsed/>
  </w:style>
  <w:style w:type="character" w:customStyle="1" w:styleId="Ttulo1Car">
    <w:name w:val="Título 1 Car"/>
    <w:basedOn w:val="Fuentedeprrafopredeter"/>
    <w:link w:val="Ttulo1"/>
    <w:rsid w:val="00CA5CD1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4D5B7A"/>
    <w:rPr>
      <w:rFonts w:ascii="Times New Roman" w:eastAsia="Times New Roman" w:hAnsi="Times New Roman"/>
      <w:b/>
      <w:bCs/>
      <w:sz w:val="36"/>
      <w:szCs w:val="3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01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1417"/>
    <w:rPr>
      <w:rFonts w:ascii="Tahoma" w:hAnsi="Tahoma" w:cs="Tahoma"/>
      <w:sz w:val="16"/>
      <w:szCs w:val="16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1B0518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1B0518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1B0518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66C96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66C96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A66C96"/>
    <w:rPr>
      <w:vertAlign w:val="superscript"/>
    </w:rPr>
  </w:style>
  <w:style w:type="paragraph" w:styleId="Encabezado">
    <w:name w:val="header"/>
    <w:basedOn w:val="Normal"/>
    <w:link w:val="EncabezadoCar"/>
    <w:uiPriority w:val="99"/>
    <w:semiHidden/>
    <w:unhideWhenUsed/>
    <w:rsid w:val="00531C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31C65"/>
  </w:style>
  <w:style w:type="paragraph" w:styleId="Piedepgina">
    <w:name w:val="footer"/>
    <w:basedOn w:val="Normal"/>
    <w:link w:val="PiedepginaCar"/>
    <w:uiPriority w:val="99"/>
    <w:unhideWhenUsed/>
    <w:rsid w:val="00531C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31C65"/>
  </w:style>
  <w:style w:type="table" w:styleId="Tablaconcuadrcula">
    <w:name w:val="Table Grid"/>
    <w:basedOn w:val="Tablanormal"/>
    <w:uiPriority w:val="59"/>
    <w:rsid w:val="00465A59"/>
    <w:rPr>
      <w:sz w:val="22"/>
      <w:szCs w:val="22"/>
      <w:lang w:val="es-ES_tradnl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CA5CD1"/>
    <w:rPr>
      <w:color w:val="0000FF"/>
      <w:u w:val="single"/>
    </w:rPr>
  </w:style>
  <w:style w:type="paragraph" w:customStyle="1" w:styleId="Sinespaciado1">
    <w:name w:val="Sin espaciado1"/>
    <w:uiPriority w:val="1"/>
    <w:qFormat/>
    <w:rsid w:val="00947BDC"/>
    <w:rPr>
      <w:rFonts w:ascii="Cambria" w:eastAsia="Cambria" w:hAnsi="Cambria"/>
      <w:sz w:val="22"/>
      <w:szCs w:val="22"/>
      <w:lang w:eastAsia="en-US"/>
    </w:rPr>
  </w:style>
  <w:style w:type="table" w:customStyle="1" w:styleId="Sombreadoclaro-nfasis11">
    <w:name w:val="Sombreado claro - Énfasis 11"/>
    <w:basedOn w:val="Tablanormal"/>
    <w:uiPriority w:val="60"/>
    <w:rsid w:val="00947BDC"/>
    <w:rPr>
      <w:rFonts w:ascii="Cambria" w:eastAsia="Cambria" w:hAnsi="Cambria"/>
      <w:color w:val="365F9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Sinespaciado2">
    <w:name w:val="Sin espaciado2"/>
    <w:uiPriority w:val="1"/>
    <w:qFormat/>
    <w:rsid w:val="007A2224"/>
    <w:rPr>
      <w:rFonts w:ascii="Cambria" w:eastAsia="Cambria" w:hAnsi="Cambria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 Spacing" w:qFormat="1"/>
    <w:lsdException w:name="Medium Grid 2" w:qFormat="1"/>
    <w:lsdException w:name="Medium Shading 1 Accent 1" w:qFormat="1"/>
    <w:lsdException w:name="List Paragraph" w:qFormat="1"/>
    <w:lsdException w:name="Quote" w:qFormat="1"/>
    <w:lsdException w:name="Intense Quote" w:qFormat="1"/>
    <w:lsdException w:name="Medium Grid 2 Accent 1" w:qFormat="1"/>
    <w:lsdException w:name="Colorful List Accent 1" w:qFormat="1"/>
    <w:lsdException w:name="Colorful Grid Accent 1" w:qFormat="1"/>
    <w:lsdException w:name="Light Shading Accent 2" w:qFormat="1"/>
    <w:lsdException w:name="Medium Shading 1 Accent 2" w:uiPriority="1" w:qFormat="1"/>
    <w:lsdException w:name="Medium Grid 1 Accent 2" w:qFormat="1"/>
    <w:lsdException w:name="Medium Grid 2 Accent 2" w:qFormat="1"/>
    <w:lsdException w:name="Medium Grid 3 Accent 2" w:qFormat="1"/>
    <w:lsdException w:name="Light Grid Accent 3" w:qFormat="1"/>
    <w:lsdException w:name="Medium Shading 1 Accent 3" w:qFormat="1"/>
    <w:lsdException w:name="Medium Shading 2 Accent 3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">
    <w:name w:val="Normal"/>
    <w:qFormat/>
    <w:rsid w:val="0045450B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rsid w:val="00CA5CD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4D5B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semiHidden/>
    <w:unhideWhenUsed/>
  </w:style>
  <w:style w:type="table" w:default="1" w:styleId="Tabla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  <w:unhideWhenUsed/>
  </w:style>
  <w:style w:type="character" w:customStyle="1" w:styleId="Ttulo1Car">
    <w:name w:val="Título 1 Car"/>
    <w:basedOn w:val="Fuentedeprrafopredeter"/>
    <w:link w:val="Ttulo1"/>
    <w:rsid w:val="00CA5CD1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4D5B7A"/>
    <w:rPr>
      <w:rFonts w:ascii="Times New Roman" w:eastAsia="Times New Roman" w:hAnsi="Times New Roman"/>
      <w:b/>
      <w:bCs/>
      <w:sz w:val="36"/>
      <w:szCs w:val="3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01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1417"/>
    <w:rPr>
      <w:rFonts w:ascii="Tahoma" w:hAnsi="Tahoma" w:cs="Tahoma"/>
      <w:sz w:val="16"/>
      <w:szCs w:val="16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1B0518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1B0518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1B0518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66C96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66C96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A66C96"/>
    <w:rPr>
      <w:vertAlign w:val="superscript"/>
    </w:rPr>
  </w:style>
  <w:style w:type="paragraph" w:styleId="Encabezado">
    <w:name w:val="header"/>
    <w:basedOn w:val="Normal"/>
    <w:link w:val="EncabezadoCar"/>
    <w:uiPriority w:val="99"/>
    <w:semiHidden/>
    <w:unhideWhenUsed/>
    <w:rsid w:val="00531C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31C65"/>
  </w:style>
  <w:style w:type="paragraph" w:styleId="Piedepgina">
    <w:name w:val="footer"/>
    <w:basedOn w:val="Normal"/>
    <w:link w:val="PiedepginaCar"/>
    <w:uiPriority w:val="99"/>
    <w:unhideWhenUsed/>
    <w:rsid w:val="00531C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31C65"/>
  </w:style>
  <w:style w:type="table" w:styleId="Tablaconcuadrcula">
    <w:name w:val="Table Grid"/>
    <w:basedOn w:val="Tablanormal"/>
    <w:uiPriority w:val="59"/>
    <w:rsid w:val="00465A59"/>
    <w:rPr>
      <w:sz w:val="22"/>
      <w:szCs w:val="22"/>
      <w:lang w:val="es-ES_tradnl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CA5CD1"/>
    <w:rPr>
      <w:color w:val="0000FF"/>
      <w:u w:val="single"/>
    </w:rPr>
  </w:style>
  <w:style w:type="paragraph" w:customStyle="1" w:styleId="Sinespaciado1">
    <w:name w:val="Sin espaciado1"/>
    <w:uiPriority w:val="1"/>
    <w:qFormat/>
    <w:rsid w:val="00947BDC"/>
    <w:rPr>
      <w:rFonts w:ascii="Cambria" w:eastAsia="Cambria" w:hAnsi="Cambria"/>
      <w:sz w:val="22"/>
      <w:szCs w:val="22"/>
      <w:lang w:eastAsia="en-US"/>
    </w:rPr>
  </w:style>
  <w:style w:type="table" w:customStyle="1" w:styleId="Sombreadoclaro-nfasis11">
    <w:name w:val="Sombreado claro - Énfasis 11"/>
    <w:basedOn w:val="Tablanormal"/>
    <w:uiPriority w:val="60"/>
    <w:rsid w:val="00947BDC"/>
    <w:rPr>
      <w:rFonts w:ascii="Cambria" w:eastAsia="Cambria" w:hAnsi="Cambria"/>
      <w:color w:val="365F9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Sinespaciado2">
    <w:name w:val="Sin espaciado2"/>
    <w:uiPriority w:val="1"/>
    <w:qFormat/>
    <w:rsid w:val="007A2224"/>
    <w:rPr>
      <w:rFonts w:ascii="Cambria" w:eastAsia="Cambria" w:hAnsi="Cambria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4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emf"/><Relationship Id="rId9" Type="http://schemas.openxmlformats.org/officeDocument/2006/relationships/image" Target="media/image3.emf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</Words>
  <Characters>1562</Characters>
  <Application>Microsoft Word 12.0.0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Fundación Jubileo</Company>
  <LinksUpToDate>false</LinksUpToDate>
  <CharactersWithSpaces>1918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</dc:creator>
  <cp:lastModifiedBy>Jubileo MAC</cp:lastModifiedBy>
  <cp:revision>2</cp:revision>
  <cp:lastPrinted>2015-03-05T15:53:00Z</cp:lastPrinted>
  <dcterms:created xsi:type="dcterms:W3CDTF">2015-03-05T15:59:00Z</dcterms:created>
  <dcterms:modified xsi:type="dcterms:W3CDTF">2015-03-05T15:59:00Z</dcterms:modified>
</cp:coreProperties>
</file>