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Default Extension="emf" ContentType="image/x-emf"/>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D3549E" w:rsidRPr="008B39AC" w:rsidRDefault="00A93B9A" w:rsidP="00D3549E">
      <w:pPr>
        <w:jc w:val="center"/>
        <w:rPr>
          <w:rFonts w:ascii="Century Gothic" w:hAnsi="Century Gothic"/>
          <w:b/>
          <w:color w:val="1F497D"/>
          <w:sz w:val="28"/>
        </w:rPr>
      </w:pPr>
      <w:r w:rsidRPr="008B39AC">
        <w:rPr>
          <w:rFonts w:ascii="Century Gothic" w:hAnsi="Century Gothic"/>
          <w:noProof/>
          <w:sz w:val="12"/>
          <w:lang w:val="es-ES_tradnl" w:eastAsia="es-ES_tradnl"/>
        </w:rPr>
        <w:drawing>
          <wp:anchor distT="0" distB="0" distL="114300" distR="114300" simplePos="0" relativeHeight="251657216" behindDoc="0" locked="0" layoutInCell="1" allowOverlap="1">
            <wp:simplePos x="0" y="0"/>
            <wp:positionH relativeFrom="column">
              <wp:posOffset>2305050</wp:posOffset>
            </wp:positionH>
            <wp:positionV relativeFrom="paragraph">
              <wp:posOffset>-113030</wp:posOffset>
            </wp:positionV>
            <wp:extent cx="950595" cy="567055"/>
            <wp:effectExtent l="19050" t="0" r="1905" b="0"/>
            <wp:wrapNone/>
            <wp:docPr id="10" name="Imagen 4" descr="Logo JUBILEO 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Logo JUBILEO G"/>
                    <pic:cNvPicPr>
                      <a:picLocks noChangeAspect="1" noChangeArrowheads="1"/>
                    </pic:cNvPicPr>
                  </pic:nvPicPr>
                  <pic:blipFill>
                    <a:blip r:embed="rId7"/>
                    <a:srcRect/>
                    <a:stretch>
                      <a:fillRect/>
                    </a:stretch>
                  </pic:blipFill>
                  <pic:spPr bwMode="auto">
                    <a:xfrm>
                      <a:off x="0" y="0"/>
                      <a:ext cx="950595" cy="567055"/>
                    </a:xfrm>
                    <a:prstGeom prst="rect">
                      <a:avLst/>
                    </a:prstGeom>
                    <a:noFill/>
                    <a:ln w="9525">
                      <a:noFill/>
                      <a:miter lim="800000"/>
                      <a:headEnd/>
                      <a:tailEnd/>
                    </a:ln>
                  </pic:spPr>
                </pic:pic>
              </a:graphicData>
            </a:graphic>
          </wp:anchor>
        </w:drawing>
      </w:r>
    </w:p>
    <w:p w:rsidR="00D3549E" w:rsidRPr="008B39AC" w:rsidRDefault="00D3549E" w:rsidP="00D3549E">
      <w:pPr>
        <w:jc w:val="center"/>
        <w:rPr>
          <w:rFonts w:ascii="Century Gothic" w:hAnsi="Century Gothic"/>
          <w:b/>
          <w:color w:val="1F497D"/>
          <w:sz w:val="12"/>
        </w:rPr>
      </w:pPr>
    </w:p>
    <w:p w:rsidR="00D3549E" w:rsidRPr="008B39AC" w:rsidRDefault="00D3549E" w:rsidP="00D3549E">
      <w:pPr>
        <w:pStyle w:val="Sinespaciado1"/>
        <w:jc w:val="center"/>
        <w:rPr>
          <w:rFonts w:ascii="Century Gothic" w:hAnsi="Century Gothic"/>
          <w:b/>
          <w:sz w:val="28"/>
          <w:szCs w:val="28"/>
        </w:rPr>
      </w:pPr>
      <w:r w:rsidRPr="008B39AC">
        <w:rPr>
          <w:rFonts w:ascii="Century Gothic" w:hAnsi="Century Gothic"/>
          <w:b/>
          <w:sz w:val="28"/>
          <w:szCs w:val="28"/>
        </w:rPr>
        <w:t xml:space="preserve">LA INFLACIÓN DE ALIMENTOS </w:t>
      </w:r>
      <w:r w:rsidR="00A12F0F" w:rsidRPr="008B39AC">
        <w:rPr>
          <w:rFonts w:ascii="Century Gothic" w:hAnsi="Century Gothic"/>
          <w:b/>
          <w:sz w:val="28"/>
          <w:szCs w:val="28"/>
        </w:rPr>
        <w:t xml:space="preserve">AL PRIMER BIMESTRE </w:t>
      </w:r>
      <w:r w:rsidR="008B39AC">
        <w:rPr>
          <w:rFonts w:ascii="Century Gothic" w:hAnsi="Century Gothic"/>
          <w:b/>
          <w:sz w:val="28"/>
          <w:szCs w:val="28"/>
        </w:rPr>
        <w:br/>
      </w:r>
      <w:r w:rsidRPr="008B39AC">
        <w:rPr>
          <w:rFonts w:ascii="Century Gothic" w:hAnsi="Century Gothic"/>
          <w:b/>
          <w:sz w:val="28"/>
          <w:szCs w:val="28"/>
        </w:rPr>
        <w:t>DE 2013</w:t>
      </w:r>
      <w:r w:rsidR="00A12F0F" w:rsidRPr="008B39AC">
        <w:rPr>
          <w:rFonts w:ascii="Century Gothic" w:hAnsi="Century Gothic"/>
          <w:b/>
          <w:sz w:val="28"/>
          <w:szCs w:val="28"/>
        </w:rPr>
        <w:t xml:space="preserve"> FUE DE 2</w:t>
      </w:r>
      <w:r w:rsidR="00DC0E99" w:rsidRPr="008B39AC">
        <w:rPr>
          <w:rFonts w:ascii="Century Gothic" w:hAnsi="Century Gothic"/>
          <w:b/>
          <w:sz w:val="28"/>
          <w:szCs w:val="28"/>
        </w:rPr>
        <w:t>,</w:t>
      </w:r>
      <w:r w:rsidR="00A12F0F" w:rsidRPr="008B39AC">
        <w:rPr>
          <w:rFonts w:ascii="Century Gothic" w:hAnsi="Century Gothic"/>
          <w:b/>
          <w:sz w:val="28"/>
          <w:szCs w:val="28"/>
        </w:rPr>
        <w:t>4%</w:t>
      </w:r>
    </w:p>
    <w:p w:rsidR="00D3549E" w:rsidRPr="008B39AC" w:rsidRDefault="00F850D6" w:rsidP="00D3549E">
      <w:pPr>
        <w:pStyle w:val="Sinespaciado1"/>
        <w:jc w:val="center"/>
        <w:rPr>
          <w:rFonts w:ascii="Century Gothic" w:hAnsi="Century Gothic"/>
          <w:b/>
          <w:sz w:val="24"/>
          <w:szCs w:val="28"/>
        </w:rPr>
      </w:pPr>
      <w:r w:rsidRPr="008B39AC">
        <w:rPr>
          <w:rFonts w:ascii="Century Gothic" w:hAnsi="Century Gothic" w:cs="MyriadPro-Regular"/>
          <w:i/>
          <w:noProof/>
          <w:szCs w:val="24"/>
          <w:lang w:val="es-ES_tradnl" w:eastAsia="es-ES_tradnl"/>
        </w:rPr>
        <w:pict>
          <v:roundrect id="_x0000_s1031" style="position:absolute;left:0;text-align:left;margin-left:-11pt;margin-top:13.4pt;width:460.5pt;height:77.2pt;z-index:-251658240;mso-wrap-edited:f" arcsize="10923f" wrapcoords="633 -472 386 -315 -175 1261 -281 4572 -246 19708 0 22072 70 22388 422 23176 457 23176 21213 23176 21248 23176 21670 22072 21916 19708 21916 3310 21811 1261 21283 -315 21037 -472 633 -472" fillcolor="#e6f1ff" strokecolor="#4a7ebb" strokeweight="1.5pt">
            <v:fill opacity="64881f" o:detectmouseclick="t"/>
            <v:shadow on="t" opacity="22938f" offset="0"/>
            <v:textbox inset=",7.2pt,,7.2pt"/>
          </v:roundrect>
        </w:pict>
      </w:r>
    </w:p>
    <w:p w:rsidR="00D3549E" w:rsidRPr="008B39AC" w:rsidRDefault="00DC0E99" w:rsidP="00D3549E">
      <w:pPr>
        <w:pStyle w:val="Sinespaciado1"/>
        <w:numPr>
          <w:ilvl w:val="0"/>
          <w:numId w:val="1"/>
        </w:numPr>
        <w:spacing w:before="120" w:after="120"/>
        <w:rPr>
          <w:rFonts w:ascii="Century Gothic" w:hAnsi="Century Gothic" w:cs="MyriadPro-Regular"/>
          <w:i/>
          <w:szCs w:val="24"/>
        </w:rPr>
      </w:pPr>
      <w:r w:rsidRPr="008B39AC">
        <w:rPr>
          <w:rFonts w:ascii="Century Gothic" w:hAnsi="Century Gothic" w:cs="MyriadPro-Regular"/>
          <w:i/>
          <w:szCs w:val="24"/>
        </w:rPr>
        <w:t xml:space="preserve">La meta de </w:t>
      </w:r>
      <w:r w:rsidR="00BE760C" w:rsidRPr="008B39AC">
        <w:rPr>
          <w:rFonts w:ascii="Century Gothic" w:hAnsi="Century Gothic" w:cs="MyriadPro-Regular"/>
          <w:i/>
          <w:szCs w:val="24"/>
        </w:rPr>
        <w:t xml:space="preserve">la </w:t>
      </w:r>
      <w:r w:rsidRPr="008B39AC">
        <w:rPr>
          <w:rFonts w:ascii="Century Gothic" w:hAnsi="Century Gothic" w:cs="MyriadPro-Regular"/>
          <w:i/>
          <w:szCs w:val="24"/>
        </w:rPr>
        <w:t>inflación</w:t>
      </w:r>
      <w:r w:rsidR="00BE760C" w:rsidRPr="008B39AC">
        <w:rPr>
          <w:rFonts w:ascii="Century Gothic" w:hAnsi="Century Gothic" w:cs="MyriadPro-Regular"/>
          <w:i/>
          <w:szCs w:val="24"/>
        </w:rPr>
        <w:t xml:space="preserve"> general</w:t>
      </w:r>
      <w:r w:rsidRPr="008B39AC">
        <w:rPr>
          <w:rFonts w:ascii="Century Gothic" w:hAnsi="Century Gothic" w:cs="MyriadPro-Regular"/>
          <w:i/>
          <w:szCs w:val="24"/>
        </w:rPr>
        <w:t xml:space="preserve"> </w:t>
      </w:r>
      <w:r w:rsidR="00BE760C" w:rsidRPr="008B39AC">
        <w:rPr>
          <w:rFonts w:ascii="Century Gothic" w:hAnsi="Century Gothic" w:cs="MyriadPro-Regular"/>
          <w:i/>
          <w:szCs w:val="24"/>
        </w:rPr>
        <w:t>estimada para el año</w:t>
      </w:r>
      <w:r w:rsidR="00210BF6" w:rsidRPr="008B39AC">
        <w:rPr>
          <w:rFonts w:ascii="Century Gothic" w:hAnsi="Century Gothic" w:cs="MyriadPro-Regular"/>
          <w:i/>
          <w:szCs w:val="24"/>
        </w:rPr>
        <w:t xml:space="preserve"> es de 4,8%; pero en dos meses los alimentos subieron en la mitad de esa cifra.</w:t>
      </w:r>
    </w:p>
    <w:p w:rsidR="00D3549E" w:rsidRPr="008B39AC" w:rsidRDefault="00210BF6" w:rsidP="00D3549E">
      <w:pPr>
        <w:pStyle w:val="Sinespaciado1"/>
        <w:numPr>
          <w:ilvl w:val="0"/>
          <w:numId w:val="1"/>
        </w:numPr>
        <w:spacing w:before="120" w:after="120"/>
        <w:rPr>
          <w:rFonts w:ascii="Century Gothic" w:hAnsi="Century Gothic" w:cs="MyriadPro-Regular"/>
          <w:i/>
          <w:szCs w:val="24"/>
        </w:rPr>
      </w:pPr>
      <w:r w:rsidRPr="008B39AC">
        <w:rPr>
          <w:rFonts w:ascii="Century Gothic" w:hAnsi="Century Gothic" w:cs="MyriadPro-Regular"/>
          <w:i/>
          <w:szCs w:val="24"/>
        </w:rPr>
        <w:t>Para los pobres, la inflación acumulada alcanzó a 1,5%</w:t>
      </w:r>
    </w:p>
    <w:p w:rsidR="00A12F0F" w:rsidRPr="008B39AC" w:rsidRDefault="0069038B" w:rsidP="00D3549E">
      <w:pPr>
        <w:pStyle w:val="Sinespaciado1"/>
        <w:numPr>
          <w:ilvl w:val="0"/>
          <w:numId w:val="1"/>
        </w:numPr>
        <w:spacing w:before="120" w:after="120"/>
        <w:rPr>
          <w:rFonts w:ascii="Century Gothic" w:hAnsi="Century Gothic" w:cs="MyriadPro-Regular"/>
          <w:i/>
          <w:szCs w:val="24"/>
        </w:rPr>
      </w:pPr>
      <w:r w:rsidRPr="008B39AC">
        <w:rPr>
          <w:rFonts w:ascii="Century Gothic" w:hAnsi="Century Gothic" w:cs="MyriadPro-Regular"/>
          <w:i/>
          <w:szCs w:val="24"/>
        </w:rPr>
        <w:t>Transporte: los más pobres gastan en La Pa</w:t>
      </w:r>
      <w:r w:rsidR="006768B8" w:rsidRPr="008B39AC">
        <w:rPr>
          <w:rFonts w:ascii="Century Gothic" w:hAnsi="Century Gothic" w:cs="MyriadPro-Regular"/>
          <w:i/>
          <w:szCs w:val="24"/>
        </w:rPr>
        <w:t>z</w:t>
      </w:r>
      <w:r w:rsidRPr="008B39AC">
        <w:rPr>
          <w:rFonts w:ascii="Century Gothic" w:hAnsi="Century Gothic" w:cs="MyriadPro-Regular"/>
          <w:i/>
          <w:szCs w:val="24"/>
        </w:rPr>
        <w:t xml:space="preserve"> 12% y en Santa Cruz 10%</w:t>
      </w:r>
    </w:p>
    <w:p w:rsidR="002F6770" w:rsidRPr="008B39AC" w:rsidRDefault="002F6770" w:rsidP="00210BF6">
      <w:pPr>
        <w:pStyle w:val="Sinespaciado1"/>
        <w:spacing w:before="120" w:after="120"/>
        <w:ind w:left="720"/>
        <w:rPr>
          <w:rFonts w:ascii="Century Gothic" w:hAnsi="Century Gothic" w:cs="MyriadPro-Regular"/>
          <w:i/>
          <w:szCs w:val="24"/>
        </w:rPr>
      </w:pPr>
      <w:r w:rsidRPr="008B39AC">
        <w:rPr>
          <w:rFonts w:ascii="Century Gothic" w:hAnsi="Century Gothic" w:cs="MyriadPro-Regular"/>
          <w:i/>
          <w:szCs w:val="24"/>
        </w:rPr>
        <w:t xml:space="preserve"> </w:t>
      </w:r>
    </w:p>
    <w:p w:rsidR="00D3549E" w:rsidRPr="008B39AC" w:rsidRDefault="00D3549E" w:rsidP="00D3549E">
      <w:pPr>
        <w:pStyle w:val="Sinespaciado1"/>
        <w:spacing w:before="120" w:after="120"/>
        <w:jc w:val="both"/>
        <w:rPr>
          <w:rFonts w:ascii="Century Gothic" w:hAnsi="Century Gothic" w:cs="MyriadPro-Regular"/>
        </w:rPr>
      </w:pPr>
      <w:r w:rsidRPr="008B39AC">
        <w:rPr>
          <w:rFonts w:ascii="Century Gothic" w:hAnsi="Century Gothic" w:cs="MyriadPro-Regular"/>
        </w:rPr>
        <w:t xml:space="preserve">El incremento de precios de los alimentos </w:t>
      </w:r>
      <w:r w:rsidR="00DC0E99" w:rsidRPr="008B39AC">
        <w:rPr>
          <w:rFonts w:ascii="Century Gothic" w:hAnsi="Century Gothic" w:cs="MyriadPro-Regular"/>
        </w:rPr>
        <w:t>–</w:t>
      </w:r>
      <w:r w:rsidR="00A12F0F" w:rsidRPr="008B39AC">
        <w:rPr>
          <w:rFonts w:ascii="Century Gothic" w:hAnsi="Century Gothic" w:cs="MyriadPro-Regular"/>
        </w:rPr>
        <w:t xml:space="preserve">hasta </w:t>
      </w:r>
      <w:r w:rsidRPr="008B39AC">
        <w:rPr>
          <w:rFonts w:ascii="Century Gothic" w:hAnsi="Century Gothic" w:cs="MyriadPro-Regular"/>
        </w:rPr>
        <w:t xml:space="preserve">el primer </w:t>
      </w:r>
      <w:r w:rsidR="00A12F0F" w:rsidRPr="008B39AC">
        <w:rPr>
          <w:rFonts w:ascii="Century Gothic" w:hAnsi="Century Gothic" w:cs="MyriadPro-Regular"/>
        </w:rPr>
        <w:t xml:space="preserve">bimestre </w:t>
      </w:r>
      <w:r w:rsidRPr="008B39AC">
        <w:rPr>
          <w:rFonts w:ascii="Century Gothic" w:hAnsi="Century Gothic" w:cs="MyriadPro-Regular"/>
        </w:rPr>
        <w:t>de este año</w:t>
      </w:r>
      <w:r w:rsidR="00DC0E99" w:rsidRPr="008B39AC">
        <w:rPr>
          <w:rFonts w:ascii="Century Gothic" w:hAnsi="Century Gothic" w:cs="MyriadPro-Regular"/>
        </w:rPr>
        <w:t>-</w:t>
      </w:r>
      <w:r w:rsidRPr="008B39AC">
        <w:rPr>
          <w:rFonts w:ascii="Century Gothic" w:hAnsi="Century Gothic" w:cs="MyriadPro-Regular"/>
        </w:rPr>
        <w:t xml:space="preserve"> fue de </w:t>
      </w:r>
      <w:r w:rsidR="00A12F0F" w:rsidRPr="008B39AC">
        <w:rPr>
          <w:rFonts w:ascii="Century Gothic" w:hAnsi="Century Gothic" w:cs="MyriadPro-Regular"/>
        </w:rPr>
        <w:t>2</w:t>
      </w:r>
      <w:r w:rsidR="00DC0E99" w:rsidRPr="008B39AC">
        <w:rPr>
          <w:rFonts w:ascii="Century Gothic" w:hAnsi="Century Gothic" w:cs="MyriadPro-Regular"/>
        </w:rPr>
        <w:t>,</w:t>
      </w:r>
      <w:r w:rsidR="00A12F0F" w:rsidRPr="008B39AC">
        <w:rPr>
          <w:rFonts w:ascii="Century Gothic" w:hAnsi="Century Gothic" w:cs="MyriadPro-Regular"/>
        </w:rPr>
        <w:t>4%</w:t>
      </w:r>
      <w:r w:rsidRPr="008B39AC">
        <w:rPr>
          <w:rFonts w:ascii="Century Gothic" w:hAnsi="Century Gothic" w:cs="MyriadPro-Regular"/>
        </w:rPr>
        <w:t xml:space="preserve">. </w:t>
      </w:r>
      <w:r w:rsidR="00A12F0F" w:rsidRPr="008B39AC">
        <w:rPr>
          <w:rFonts w:ascii="Century Gothic" w:hAnsi="Century Gothic" w:cs="MyriadPro-Regular"/>
        </w:rPr>
        <w:t>La inflación de alimentos en el mes de febrero 1</w:t>
      </w:r>
      <w:r w:rsidR="0029163C" w:rsidRPr="008B39AC">
        <w:rPr>
          <w:rFonts w:ascii="Century Gothic" w:hAnsi="Century Gothic" w:cs="MyriadPro-Regular"/>
        </w:rPr>
        <w:t>,</w:t>
      </w:r>
      <w:r w:rsidR="00A12F0F" w:rsidRPr="008B39AC">
        <w:rPr>
          <w:rFonts w:ascii="Century Gothic" w:hAnsi="Century Gothic" w:cs="MyriadPro-Regular"/>
        </w:rPr>
        <w:t>30% fue la más alta desde febrero del año 2011</w:t>
      </w:r>
      <w:r w:rsidRPr="008B39AC">
        <w:rPr>
          <w:rFonts w:ascii="Century Gothic" w:hAnsi="Century Gothic" w:cs="MyriadPro-Regular"/>
        </w:rPr>
        <w:t>.</w:t>
      </w:r>
    </w:p>
    <w:p w:rsidR="00D3549E" w:rsidRPr="008B39AC" w:rsidRDefault="00DC0E99" w:rsidP="00D3549E">
      <w:pPr>
        <w:pStyle w:val="Sinespaciado1"/>
        <w:spacing w:before="120" w:after="120"/>
        <w:jc w:val="both"/>
        <w:rPr>
          <w:rFonts w:ascii="Century Gothic" w:hAnsi="Century Gothic" w:cs="MyriadPro-Regular"/>
        </w:rPr>
      </w:pPr>
      <w:r w:rsidRPr="008B39AC">
        <w:rPr>
          <w:rFonts w:ascii="Century Gothic" w:hAnsi="Century Gothic" w:cs="MyriadPro-Regular"/>
        </w:rPr>
        <w:t xml:space="preserve">La </w:t>
      </w:r>
      <w:r w:rsidR="00D3549E" w:rsidRPr="008B39AC">
        <w:rPr>
          <w:rFonts w:ascii="Century Gothic" w:hAnsi="Century Gothic" w:cs="MyriadPro-Regular"/>
        </w:rPr>
        <w:t xml:space="preserve">ciudad de </w:t>
      </w:r>
      <w:r w:rsidR="00A57B08" w:rsidRPr="008B39AC">
        <w:rPr>
          <w:rFonts w:ascii="Century Gothic" w:hAnsi="Century Gothic" w:cs="MyriadPro-Regular"/>
        </w:rPr>
        <w:t>Santa Cruz</w:t>
      </w:r>
      <w:r w:rsidRPr="008B39AC">
        <w:rPr>
          <w:rFonts w:ascii="Century Gothic" w:hAnsi="Century Gothic" w:cs="MyriadPro-Regular"/>
        </w:rPr>
        <w:t>, en el eje central,</w:t>
      </w:r>
      <w:r w:rsidR="00A57B08" w:rsidRPr="008B39AC">
        <w:rPr>
          <w:rFonts w:ascii="Century Gothic" w:hAnsi="Century Gothic" w:cs="MyriadPro-Regular"/>
        </w:rPr>
        <w:t xml:space="preserve"> r</w:t>
      </w:r>
      <w:r w:rsidR="00D3549E" w:rsidRPr="008B39AC">
        <w:rPr>
          <w:rFonts w:ascii="Century Gothic" w:hAnsi="Century Gothic" w:cs="MyriadPro-Regular"/>
        </w:rPr>
        <w:t xml:space="preserve">egistra la mayor inflación de alimentos, con </w:t>
      </w:r>
      <w:r w:rsidR="00A57B08" w:rsidRPr="008B39AC">
        <w:rPr>
          <w:rFonts w:ascii="Century Gothic" w:hAnsi="Century Gothic" w:cs="MyriadPro-Regular"/>
        </w:rPr>
        <w:t>2</w:t>
      </w:r>
      <w:r w:rsidR="00D3549E" w:rsidRPr="008B39AC">
        <w:rPr>
          <w:rFonts w:ascii="Century Gothic" w:hAnsi="Century Gothic" w:cs="MyriadPro-Regular"/>
        </w:rPr>
        <w:t>,</w:t>
      </w:r>
      <w:r w:rsidR="00A57B08" w:rsidRPr="008B39AC">
        <w:rPr>
          <w:rFonts w:ascii="Century Gothic" w:hAnsi="Century Gothic" w:cs="MyriadPro-Regular"/>
        </w:rPr>
        <w:t>82</w:t>
      </w:r>
      <w:r w:rsidRPr="008B39AC">
        <w:rPr>
          <w:rFonts w:ascii="Century Gothic" w:hAnsi="Century Gothic" w:cs="MyriadPro-Regular"/>
        </w:rPr>
        <w:t>%;</w:t>
      </w:r>
      <w:r w:rsidR="00D3549E" w:rsidRPr="008B39AC">
        <w:rPr>
          <w:rFonts w:ascii="Century Gothic" w:hAnsi="Century Gothic" w:cs="MyriadPro-Regular"/>
        </w:rPr>
        <w:t xml:space="preserve"> seguido por </w:t>
      </w:r>
      <w:r w:rsidR="00A57B08" w:rsidRPr="008B39AC">
        <w:rPr>
          <w:rFonts w:ascii="Century Gothic" w:hAnsi="Century Gothic" w:cs="MyriadPro-Regular"/>
        </w:rPr>
        <w:t>Cochabamba</w:t>
      </w:r>
      <w:r w:rsidRPr="008B39AC">
        <w:rPr>
          <w:rFonts w:ascii="Century Gothic" w:hAnsi="Century Gothic" w:cs="MyriadPro-Regular"/>
        </w:rPr>
        <w:t>,</w:t>
      </w:r>
      <w:r w:rsidR="00A57B08" w:rsidRPr="008B39AC">
        <w:rPr>
          <w:rFonts w:ascii="Century Gothic" w:hAnsi="Century Gothic" w:cs="MyriadPro-Regular"/>
        </w:rPr>
        <w:t xml:space="preserve"> </w:t>
      </w:r>
      <w:r w:rsidR="00D3549E" w:rsidRPr="008B39AC">
        <w:rPr>
          <w:rFonts w:ascii="Century Gothic" w:hAnsi="Century Gothic" w:cs="MyriadPro-Regular"/>
        </w:rPr>
        <w:t xml:space="preserve">con </w:t>
      </w:r>
      <w:r w:rsidR="00A57B08" w:rsidRPr="008B39AC">
        <w:rPr>
          <w:rFonts w:ascii="Century Gothic" w:hAnsi="Century Gothic" w:cs="MyriadPro-Regular"/>
        </w:rPr>
        <w:t>2</w:t>
      </w:r>
      <w:r w:rsidR="00210BF6" w:rsidRPr="008B39AC">
        <w:rPr>
          <w:rFonts w:ascii="Century Gothic" w:hAnsi="Century Gothic" w:cs="MyriadPro-Regular"/>
        </w:rPr>
        <w:t>,</w:t>
      </w:r>
      <w:r w:rsidR="00A57B08" w:rsidRPr="008B39AC">
        <w:rPr>
          <w:rFonts w:ascii="Century Gothic" w:hAnsi="Century Gothic" w:cs="MyriadPro-Regular"/>
        </w:rPr>
        <w:t>32</w:t>
      </w:r>
      <w:r w:rsidRPr="008B39AC">
        <w:rPr>
          <w:rFonts w:ascii="Century Gothic" w:hAnsi="Century Gothic" w:cs="MyriadPro-Regular"/>
        </w:rPr>
        <w:t>%;</w:t>
      </w:r>
      <w:r w:rsidR="00D3549E" w:rsidRPr="008B39AC">
        <w:rPr>
          <w:rFonts w:ascii="Century Gothic" w:hAnsi="Century Gothic" w:cs="MyriadPro-Regular"/>
        </w:rPr>
        <w:t xml:space="preserve"> y </w:t>
      </w:r>
      <w:r w:rsidR="00A57B08" w:rsidRPr="008B39AC">
        <w:rPr>
          <w:rFonts w:ascii="Century Gothic" w:hAnsi="Century Gothic" w:cs="MyriadPro-Regular"/>
        </w:rPr>
        <w:t>La Paz</w:t>
      </w:r>
      <w:r w:rsidRPr="008B39AC">
        <w:rPr>
          <w:rFonts w:ascii="Century Gothic" w:hAnsi="Century Gothic" w:cs="MyriadPro-Regular"/>
        </w:rPr>
        <w:t>,</w:t>
      </w:r>
      <w:r w:rsidR="00D3549E" w:rsidRPr="008B39AC">
        <w:rPr>
          <w:rFonts w:ascii="Century Gothic" w:hAnsi="Century Gothic" w:cs="MyriadPro-Regular"/>
        </w:rPr>
        <w:t xml:space="preserve"> con </w:t>
      </w:r>
      <w:r w:rsidR="00A57B08" w:rsidRPr="008B39AC">
        <w:rPr>
          <w:rFonts w:ascii="Century Gothic" w:hAnsi="Century Gothic" w:cs="MyriadPro-Regular"/>
        </w:rPr>
        <w:t>1</w:t>
      </w:r>
      <w:r w:rsidR="00D3549E" w:rsidRPr="008B39AC">
        <w:rPr>
          <w:rFonts w:ascii="Century Gothic" w:hAnsi="Century Gothic" w:cs="MyriadPro-Regular"/>
        </w:rPr>
        <w:t>,</w:t>
      </w:r>
      <w:r w:rsidR="00A57B08" w:rsidRPr="008B39AC">
        <w:rPr>
          <w:rFonts w:ascii="Century Gothic" w:hAnsi="Century Gothic" w:cs="MyriadPro-Regular"/>
        </w:rPr>
        <w:t>28</w:t>
      </w:r>
      <w:r w:rsidRPr="008B39AC">
        <w:rPr>
          <w:rFonts w:ascii="Century Gothic" w:hAnsi="Century Gothic" w:cs="MyriadPro-Regular"/>
        </w:rPr>
        <w:t xml:space="preserve">% hasta febrero. </w:t>
      </w:r>
    </w:p>
    <w:p w:rsidR="00D3549E" w:rsidRPr="008B39AC" w:rsidRDefault="00A12F0F" w:rsidP="00D3549E">
      <w:pPr>
        <w:pStyle w:val="Sinespaciado1"/>
        <w:spacing w:before="120" w:after="120"/>
        <w:jc w:val="center"/>
        <w:rPr>
          <w:rFonts w:ascii="Century Gothic" w:hAnsi="Century Gothic" w:cs="MyriadPro-Regular"/>
        </w:rPr>
      </w:pPr>
      <w:r w:rsidRPr="008B39AC">
        <w:rPr>
          <w:rFonts w:ascii="Century Gothic" w:hAnsi="Century Gothic"/>
          <w:noProof/>
          <w:lang w:val="es-ES_tradnl" w:eastAsia="es-ES_tradnl"/>
        </w:rPr>
        <w:drawing>
          <wp:inline distT="0" distB="0" distL="0" distR="0">
            <wp:extent cx="4851654" cy="2338070"/>
            <wp:effectExtent l="19050" t="0" r="6096"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4851654" cy="2338070"/>
                    </a:xfrm>
                    <a:prstGeom prst="rect">
                      <a:avLst/>
                    </a:prstGeom>
                    <a:noFill/>
                    <a:ln w="9525">
                      <a:noFill/>
                      <a:miter lim="800000"/>
                      <a:headEnd/>
                      <a:tailEnd/>
                    </a:ln>
                  </pic:spPr>
                </pic:pic>
              </a:graphicData>
            </a:graphic>
          </wp:inline>
        </w:drawing>
      </w:r>
    </w:p>
    <w:p w:rsidR="00D3549E" w:rsidRPr="008B39AC" w:rsidRDefault="00D3549E" w:rsidP="00D3549E">
      <w:pPr>
        <w:pStyle w:val="Sinespaciado1"/>
        <w:spacing w:before="120" w:after="120"/>
        <w:jc w:val="both"/>
        <w:rPr>
          <w:rFonts w:ascii="Century Gothic" w:hAnsi="Century Gothic" w:cs="MyriadPro-Regular"/>
        </w:rPr>
      </w:pPr>
      <w:r w:rsidRPr="008B39AC">
        <w:rPr>
          <w:rFonts w:ascii="Century Gothic" w:hAnsi="Century Gothic" w:cs="MyriadPro-Regular"/>
        </w:rPr>
        <w:t xml:space="preserve">La inflación de alimentos respecto de la inflación promedio general, en </w:t>
      </w:r>
      <w:r w:rsidR="00B71208" w:rsidRPr="008B39AC">
        <w:rPr>
          <w:rFonts w:ascii="Century Gothic" w:hAnsi="Century Gothic" w:cs="MyriadPro-Regular"/>
        </w:rPr>
        <w:t>febrero</w:t>
      </w:r>
      <w:r w:rsidRPr="008B39AC">
        <w:rPr>
          <w:rFonts w:ascii="Century Gothic" w:hAnsi="Century Gothic" w:cs="MyriadPro-Regular"/>
        </w:rPr>
        <w:t xml:space="preserve"> 2013, fue superior en </w:t>
      </w:r>
      <w:r w:rsidR="00B71208" w:rsidRPr="008B39AC">
        <w:rPr>
          <w:rFonts w:ascii="Century Gothic" w:hAnsi="Century Gothic" w:cs="MyriadPro-Regular"/>
        </w:rPr>
        <w:t>1</w:t>
      </w:r>
      <w:r w:rsidR="00DC0E99" w:rsidRPr="008B39AC">
        <w:rPr>
          <w:rFonts w:ascii="Century Gothic" w:hAnsi="Century Gothic" w:cs="MyriadPro-Regular"/>
        </w:rPr>
        <w:t>,</w:t>
      </w:r>
      <w:r w:rsidR="00B71208" w:rsidRPr="008B39AC">
        <w:rPr>
          <w:rFonts w:ascii="Century Gothic" w:hAnsi="Century Gothic" w:cs="MyriadPro-Regular"/>
        </w:rPr>
        <w:t>05</w:t>
      </w:r>
      <w:r w:rsidRPr="008B39AC">
        <w:rPr>
          <w:rFonts w:ascii="Century Gothic" w:hAnsi="Century Gothic" w:cs="MyriadPro-Regular"/>
        </w:rPr>
        <w:t xml:space="preserve"> puntos porcentuales. </w:t>
      </w:r>
    </w:p>
    <w:p w:rsidR="00B71208" w:rsidRPr="008B39AC" w:rsidRDefault="00B71208" w:rsidP="00D3549E">
      <w:pPr>
        <w:pStyle w:val="Sinespaciado1"/>
        <w:spacing w:before="120" w:after="120"/>
        <w:jc w:val="both"/>
        <w:rPr>
          <w:rFonts w:ascii="Century Gothic" w:hAnsi="Century Gothic" w:cs="MyriadPro-Regular"/>
        </w:rPr>
      </w:pPr>
      <w:r w:rsidRPr="008B39AC">
        <w:rPr>
          <w:rFonts w:ascii="Century Gothic" w:hAnsi="Century Gothic" w:cs="MyriadPro-Regular"/>
        </w:rPr>
        <w:t>Considerando la meta inflacionaria promedio de 4</w:t>
      </w:r>
      <w:r w:rsidR="00DC0E99" w:rsidRPr="008B39AC">
        <w:rPr>
          <w:rFonts w:ascii="Century Gothic" w:hAnsi="Century Gothic" w:cs="MyriadPro-Regular"/>
        </w:rPr>
        <w:t>,</w:t>
      </w:r>
      <w:r w:rsidRPr="008B39AC">
        <w:rPr>
          <w:rFonts w:ascii="Century Gothic" w:hAnsi="Century Gothic" w:cs="MyriadPro-Regular"/>
        </w:rPr>
        <w:t>8% fijada por el Gobierno para esta gestión</w:t>
      </w:r>
      <w:r w:rsidR="00DC0E99" w:rsidRPr="008B39AC">
        <w:rPr>
          <w:rFonts w:ascii="Century Gothic" w:hAnsi="Century Gothic" w:cs="MyriadPro-Regular"/>
        </w:rPr>
        <w:t>, e</w:t>
      </w:r>
      <w:r w:rsidRPr="008B39AC">
        <w:rPr>
          <w:rFonts w:ascii="Century Gothic" w:hAnsi="Century Gothic" w:cs="MyriadPro-Regular"/>
        </w:rPr>
        <w:t xml:space="preserve">l </w:t>
      </w:r>
      <w:r w:rsidR="00DC0E99" w:rsidRPr="008B39AC">
        <w:rPr>
          <w:rFonts w:ascii="Century Gothic" w:hAnsi="Century Gothic" w:cs="MyriadPro-Regular"/>
        </w:rPr>
        <w:t>alza de precios de los alimentos alcanzó,</w:t>
      </w:r>
      <w:r w:rsidRPr="008B39AC">
        <w:rPr>
          <w:rFonts w:ascii="Century Gothic" w:hAnsi="Century Gothic" w:cs="MyriadPro-Regular"/>
        </w:rPr>
        <w:t xml:space="preserve"> en </w:t>
      </w:r>
      <w:r w:rsidR="00DC0E99" w:rsidRPr="008B39AC">
        <w:rPr>
          <w:rFonts w:ascii="Century Gothic" w:hAnsi="Century Gothic" w:cs="MyriadPro-Regular"/>
        </w:rPr>
        <w:t>lo</w:t>
      </w:r>
      <w:r w:rsidRPr="008B39AC">
        <w:rPr>
          <w:rFonts w:ascii="Century Gothic" w:hAnsi="Century Gothic" w:cs="MyriadPro-Regular"/>
        </w:rPr>
        <w:t xml:space="preserve">s </w:t>
      </w:r>
      <w:r w:rsidR="00DC0E99" w:rsidRPr="008B39AC">
        <w:rPr>
          <w:rFonts w:ascii="Century Gothic" w:hAnsi="Century Gothic" w:cs="MyriadPro-Regular"/>
        </w:rPr>
        <w:t xml:space="preserve">primeros </w:t>
      </w:r>
      <w:r w:rsidRPr="008B39AC">
        <w:rPr>
          <w:rFonts w:ascii="Century Gothic" w:hAnsi="Century Gothic" w:cs="MyriadPro-Regular"/>
        </w:rPr>
        <w:t xml:space="preserve">dos </w:t>
      </w:r>
      <w:r w:rsidR="00DC0E99" w:rsidRPr="008B39AC">
        <w:rPr>
          <w:rFonts w:ascii="Century Gothic" w:hAnsi="Century Gothic" w:cs="MyriadPro-Regular"/>
        </w:rPr>
        <w:t>meses, a 2,4%.</w:t>
      </w:r>
      <w:r w:rsidRPr="008B39AC">
        <w:rPr>
          <w:rFonts w:ascii="Century Gothic" w:hAnsi="Century Gothic" w:cs="MyriadPro-Regular"/>
        </w:rPr>
        <w:t xml:space="preserve"> Esto representa la mitad de la cifra fijada como meta</w:t>
      </w:r>
      <w:r w:rsidR="00DC0E99" w:rsidRPr="008B39AC">
        <w:rPr>
          <w:rFonts w:ascii="Century Gothic" w:hAnsi="Century Gothic" w:cs="MyriadPro-Regular"/>
        </w:rPr>
        <w:t xml:space="preserve"> para todo el año</w:t>
      </w:r>
      <w:r w:rsidRPr="008B39AC">
        <w:rPr>
          <w:rFonts w:ascii="Century Gothic" w:hAnsi="Century Gothic" w:cs="MyriadPro-Regular"/>
        </w:rPr>
        <w:t>.</w:t>
      </w:r>
    </w:p>
    <w:p w:rsidR="00B71208" w:rsidRPr="008B39AC" w:rsidRDefault="00B71208" w:rsidP="00B71208">
      <w:pPr>
        <w:pStyle w:val="Sinespaciado1"/>
        <w:spacing w:before="120" w:after="120"/>
        <w:jc w:val="both"/>
        <w:rPr>
          <w:rFonts w:ascii="Century Gothic" w:hAnsi="Century Gothic"/>
          <w:sz w:val="16"/>
        </w:rPr>
      </w:pPr>
      <w:r w:rsidRPr="008B39AC">
        <w:rPr>
          <w:rFonts w:ascii="Century Gothic" w:hAnsi="Century Gothic"/>
        </w:rPr>
        <w:t>La composición del gasto de los hogares demuestra que mientras más pobre es un hogar, mayor es su proporción de gasto en alimentos. Por ello, la inflación de los pobres es explicada fundamentalmente por la variación de precios de los alimentos.</w:t>
      </w:r>
    </w:p>
    <w:p w:rsidR="00B71208" w:rsidRPr="008B39AC" w:rsidRDefault="00AC78F9" w:rsidP="00B71208">
      <w:pPr>
        <w:pStyle w:val="Sinespaciado1"/>
        <w:spacing w:before="120" w:after="120"/>
        <w:jc w:val="center"/>
        <w:rPr>
          <w:rFonts w:ascii="Century Gothic" w:hAnsi="Century Gothic" w:cs="MyriadPro-Regular"/>
        </w:rPr>
      </w:pPr>
      <w:r w:rsidRPr="008B39AC">
        <w:rPr>
          <w:rFonts w:ascii="Century Gothic" w:hAnsi="Century Gothic"/>
          <w:noProof/>
          <w:lang w:val="es-ES_tradnl" w:eastAsia="es-ES_tradnl"/>
        </w:rPr>
        <w:t xml:space="preserve">                     </w:t>
      </w:r>
      <w:r w:rsidR="00B71208" w:rsidRPr="008B39AC">
        <w:rPr>
          <w:rFonts w:ascii="Century Gothic" w:hAnsi="Century Gothic"/>
          <w:noProof/>
          <w:lang w:val="es-ES_tradnl" w:eastAsia="es-ES_tradnl"/>
        </w:rPr>
        <w:drawing>
          <wp:inline distT="0" distB="0" distL="0" distR="0">
            <wp:extent cx="4991862" cy="2521361"/>
            <wp:effectExtent l="19050" t="0" r="0" b="0"/>
            <wp:docPr id="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4991888" cy="2521374"/>
                    </a:xfrm>
                    <a:prstGeom prst="rect">
                      <a:avLst/>
                    </a:prstGeom>
                    <a:noFill/>
                    <a:ln w="9525">
                      <a:noFill/>
                      <a:miter lim="800000"/>
                      <a:headEnd/>
                      <a:tailEnd/>
                    </a:ln>
                  </pic:spPr>
                </pic:pic>
              </a:graphicData>
            </a:graphic>
          </wp:inline>
        </w:drawing>
      </w:r>
    </w:p>
    <w:p w:rsidR="00B71208" w:rsidRPr="008B39AC" w:rsidRDefault="00B71208" w:rsidP="00D3549E">
      <w:pPr>
        <w:pStyle w:val="Sinespaciado1"/>
        <w:spacing w:before="120" w:after="120"/>
        <w:jc w:val="both"/>
        <w:rPr>
          <w:rFonts w:ascii="Century Gothic" w:hAnsi="Century Gothic" w:cs="MyriadPro-Regular"/>
          <w:b/>
        </w:rPr>
      </w:pPr>
    </w:p>
    <w:p w:rsidR="00D3549E" w:rsidRPr="008B39AC" w:rsidRDefault="00D3549E" w:rsidP="00D3549E">
      <w:pPr>
        <w:pStyle w:val="Sinespaciado1"/>
        <w:spacing w:before="120" w:after="120"/>
        <w:jc w:val="both"/>
        <w:rPr>
          <w:rFonts w:ascii="Century Gothic" w:hAnsi="Century Gothic" w:cs="MyriadPro-Regular"/>
          <w:b/>
        </w:rPr>
      </w:pPr>
      <w:r w:rsidRPr="008B39AC">
        <w:rPr>
          <w:rFonts w:ascii="Century Gothic" w:hAnsi="Century Gothic" w:cs="MyriadPro-Regular"/>
          <w:b/>
        </w:rPr>
        <w:t>Inflación para los pobres</w:t>
      </w:r>
    </w:p>
    <w:p w:rsidR="00D3549E" w:rsidRPr="008B39AC" w:rsidRDefault="00D3549E" w:rsidP="00D3549E">
      <w:pPr>
        <w:pStyle w:val="Sinespaciado1"/>
        <w:spacing w:before="120" w:after="120"/>
        <w:jc w:val="both"/>
        <w:rPr>
          <w:rFonts w:ascii="Century Gothic" w:hAnsi="Century Gothic" w:cs="MyriadPro-Regular"/>
        </w:rPr>
      </w:pPr>
      <w:r w:rsidRPr="008B39AC">
        <w:rPr>
          <w:rFonts w:ascii="Century Gothic" w:hAnsi="Century Gothic" w:cs="MyriadPro-Regular"/>
        </w:rPr>
        <w:t xml:space="preserve">La inflación general </w:t>
      </w:r>
      <w:r w:rsidR="002F6770" w:rsidRPr="008B39AC">
        <w:rPr>
          <w:rFonts w:ascii="Century Gothic" w:hAnsi="Century Gothic" w:cs="MyriadPro-Regular"/>
        </w:rPr>
        <w:t xml:space="preserve">oficial </w:t>
      </w:r>
      <w:r w:rsidRPr="008B39AC">
        <w:rPr>
          <w:rFonts w:ascii="Century Gothic" w:hAnsi="Century Gothic" w:cs="MyriadPro-Regular"/>
        </w:rPr>
        <w:t xml:space="preserve">en el primer </w:t>
      </w:r>
      <w:r w:rsidR="00B71208" w:rsidRPr="008B39AC">
        <w:rPr>
          <w:rFonts w:ascii="Century Gothic" w:hAnsi="Century Gothic" w:cs="MyriadPro-Regular"/>
        </w:rPr>
        <w:t xml:space="preserve">bimestre </w:t>
      </w:r>
      <w:r w:rsidRPr="008B39AC">
        <w:rPr>
          <w:rFonts w:ascii="Century Gothic" w:hAnsi="Century Gothic" w:cs="MyriadPro-Regular"/>
        </w:rPr>
        <w:t xml:space="preserve">de 2013 </w:t>
      </w:r>
      <w:r w:rsidR="00210BF6" w:rsidRPr="008B39AC">
        <w:rPr>
          <w:rFonts w:ascii="Century Gothic" w:hAnsi="Century Gothic" w:cs="MyriadPro-Regular"/>
        </w:rPr>
        <w:t xml:space="preserve">(enero más febrero) </w:t>
      </w:r>
      <w:r w:rsidRPr="008B39AC">
        <w:rPr>
          <w:rFonts w:ascii="Century Gothic" w:hAnsi="Century Gothic" w:cs="MyriadPro-Regular"/>
        </w:rPr>
        <w:t xml:space="preserve">llegó a </w:t>
      </w:r>
      <w:r w:rsidR="00B71208" w:rsidRPr="008B39AC">
        <w:rPr>
          <w:rFonts w:ascii="Century Gothic" w:hAnsi="Century Gothic" w:cs="MyriadPro-Regular"/>
        </w:rPr>
        <w:t>1,32</w:t>
      </w:r>
      <w:r w:rsidRPr="008B39AC">
        <w:rPr>
          <w:rFonts w:ascii="Century Gothic" w:hAnsi="Century Gothic" w:cs="MyriadPro-Regular"/>
        </w:rPr>
        <w:t xml:space="preserve">%, según el Instituto Nacional de Estadísticas (INE), porcentaje que es calculado comparando los precios promedio cotizados en </w:t>
      </w:r>
      <w:r w:rsidR="00B71208" w:rsidRPr="008B39AC">
        <w:rPr>
          <w:rFonts w:ascii="Century Gothic" w:hAnsi="Century Gothic" w:cs="MyriadPro-Regular"/>
        </w:rPr>
        <w:t xml:space="preserve">febrero </w:t>
      </w:r>
      <w:r w:rsidRPr="008B39AC">
        <w:rPr>
          <w:rFonts w:ascii="Century Gothic" w:hAnsi="Century Gothic" w:cs="MyriadPro-Regular"/>
        </w:rPr>
        <w:t>de 2013 respecto de los precios promedio que se alcanzaron hasta diciembre de 2012.</w:t>
      </w:r>
    </w:p>
    <w:p w:rsidR="00D3549E" w:rsidRPr="008B39AC" w:rsidRDefault="00D3549E" w:rsidP="00D3549E">
      <w:pPr>
        <w:pStyle w:val="Sinespaciado1"/>
        <w:spacing w:before="120" w:after="120"/>
        <w:jc w:val="both"/>
        <w:rPr>
          <w:rFonts w:ascii="Century Gothic" w:hAnsi="Century Gothic" w:cs="MyriadPro-Regular"/>
        </w:rPr>
      </w:pPr>
      <w:r w:rsidRPr="008B39AC">
        <w:rPr>
          <w:rFonts w:ascii="Century Gothic" w:hAnsi="Century Gothic" w:cs="MyriadPro-Regular"/>
        </w:rPr>
        <w:t xml:space="preserve">Considerando que la composición del gasto de los hogares más pobres es diferente al promedio general establecido por el INE, la variación acumulada del Índice de Precios al Consumidor de los Pobres (IPC-Pobres), hasta </w:t>
      </w:r>
      <w:r w:rsidR="00B83F74" w:rsidRPr="008B39AC">
        <w:rPr>
          <w:rFonts w:ascii="Century Gothic" w:hAnsi="Century Gothic" w:cs="MyriadPro-Regular"/>
        </w:rPr>
        <w:t>f</w:t>
      </w:r>
      <w:r w:rsidRPr="008B39AC">
        <w:rPr>
          <w:rFonts w:ascii="Century Gothic" w:hAnsi="Century Gothic" w:cs="MyriadPro-Regular"/>
        </w:rPr>
        <w:t>e</w:t>
      </w:r>
      <w:r w:rsidR="00B83F74" w:rsidRPr="008B39AC">
        <w:rPr>
          <w:rFonts w:ascii="Century Gothic" w:hAnsi="Century Gothic" w:cs="MyriadPro-Regular"/>
        </w:rPr>
        <w:t>br</w:t>
      </w:r>
      <w:r w:rsidRPr="008B39AC">
        <w:rPr>
          <w:rFonts w:ascii="Century Gothic" w:hAnsi="Century Gothic" w:cs="MyriadPro-Regular"/>
        </w:rPr>
        <w:t xml:space="preserve">ero de la gestión 2013, es mayor al acumulado oficial y llega a </w:t>
      </w:r>
      <w:r w:rsidR="00B83F74" w:rsidRPr="008B39AC">
        <w:rPr>
          <w:rFonts w:ascii="Century Gothic" w:hAnsi="Century Gothic" w:cs="MyriadPro-Regular"/>
        </w:rPr>
        <w:t>1</w:t>
      </w:r>
      <w:r w:rsidRPr="008B39AC">
        <w:rPr>
          <w:rFonts w:ascii="Century Gothic" w:hAnsi="Century Gothic" w:cs="MyriadPro-Regular"/>
        </w:rPr>
        <w:t>,</w:t>
      </w:r>
      <w:r w:rsidR="00B83F74" w:rsidRPr="008B39AC">
        <w:rPr>
          <w:rFonts w:ascii="Century Gothic" w:hAnsi="Century Gothic" w:cs="MyriadPro-Regular"/>
        </w:rPr>
        <w:t>5</w:t>
      </w:r>
      <w:r w:rsidRPr="008B39AC">
        <w:rPr>
          <w:rFonts w:ascii="Century Gothic" w:hAnsi="Century Gothic" w:cs="MyriadPro-Regular"/>
        </w:rPr>
        <w:t>1%.</w:t>
      </w:r>
    </w:p>
    <w:p w:rsidR="00D3549E" w:rsidRPr="008B39AC" w:rsidRDefault="00B71208" w:rsidP="00D3549E">
      <w:pPr>
        <w:pStyle w:val="Sinespaciado1"/>
        <w:spacing w:before="120" w:after="120"/>
        <w:jc w:val="center"/>
        <w:rPr>
          <w:rFonts w:ascii="Century Gothic" w:hAnsi="Century Gothic" w:cs="MyriadPro-Regular"/>
        </w:rPr>
      </w:pPr>
      <w:r w:rsidRPr="008B39AC">
        <w:rPr>
          <w:rFonts w:ascii="Century Gothic" w:hAnsi="Century Gothic"/>
          <w:noProof/>
          <w:lang w:val="es-ES_tradnl" w:eastAsia="es-ES_tradnl"/>
        </w:rPr>
        <w:drawing>
          <wp:inline distT="0" distB="0" distL="0" distR="0">
            <wp:extent cx="4979670" cy="2498713"/>
            <wp:effectExtent l="19050" t="0" r="0" b="0"/>
            <wp:docPr id="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4979670" cy="2498713"/>
                    </a:xfrm>
                    <a:prstGeom prst="rect">
                      <a:avLst/>
                    </a:prstGeom>
                    <a:noFill/>
                    <a:ln w="9525">
                      <a:noFill/>
                      <a:miter lim="800000"/>
                      <a:headEnd/>
                      <a:tailEnd/>
                    </a:ln>
                  </pic:spPr>
                </pic:pic>
              </a:graphicData>
            </a:graphic>
          </wp:inline>
        </w:drawing>
      </w:r>
    </w:p>
    <w:p w:rsidR="00305268" w:rsidRPr="008B39AC" w:rsidRDefault="00305268" w:rsidP="00D3549E">
      <w:pPr>
        <w:rPr>
          <w:rFonts w:ascii="Century Gothic" w:hAnsi="Century Gothic"/>
          <w:b/>
          <w:i/>
        </w:rPr>
      </w:pPr>
    </w:p>
    <w:p w:rsidR="00305268" w:rsidRPr="008B39AC" w:rsidRDefault="00305268" w:rsidP="00305268">
      <w:pPr>
        <w:pStyle w:val="Sinespaciado1"/>
        <w:jc w:val="both"/>
        <w:rPr>
          <w:rFonts w:ascii="Century Gothic" w:hAnsi="Century Gothic"/>
          <w:b/>
        </w:rPr>
      </w:pPr>
    </w:p>
    <w:p w:rsidR="00305268" w:rsidRPr="008B39AC" w:rsidRDefault="00305268" w:rsidP="00305268">
      <w:pPr>
        <w:pStyle w:val="Sinespaciado1"/>
        <w:jc w:val="both"/>
        <w:rPr>
          <w:rFonts w:ascii="Century Gothic" w:hAnsi="Century Gothic"/>
          <w:b/>
        </w:rPr>
      </w:pPr>
    </w:p>
    <w:p w:rsidR="00305268" w:rsidRPr="008B39AC" w:rsidRDefault="00305268" w:rsidP="00305268">
      <w:pPr>
        <w:pStyle w:val="Sinespaciado1"/>
        <w:jc w:val="both"/>
        <w:rPr>
          <w:rFonts w:ascii="Century Gothic" w:hAnsi="Century Gothic"/>
          <w:b/>
        </w:rPr>
      </w:pPr>
    </w:p>
    <w:p w:rsidR="00305268" w:rsidRPr="008B39AC" w:rsidRDefault="00B400A2" w:rsidP="00305268">
      <w:pPr>
        <w:pStyle w:val="Sinespaciado1"/>
        <w:jc w:val="both"/>
        <w:rPr>
          <w:rFonts w:ascii="Century Gothic" w:hAnsi="Century Gothic"/>
          <w:b/>
        </w:rPr>
      </w:pPr>
      <w:r w:rsidRPr="008B39AC">
        <w:rPr>
          <w:rFonts w:ascii="Century Gothic" w:hAnsi="Century Gothic"/>
          <w:b/>
        </w:rPr>
        <w:t xml:space="preserve">En </w:t>
      </w:r>
      <w:r w:rsidR="00305268" w:rsidRPr="008B39AC">
        <w:rPr>
          <w:rFonts w:ascii="Century Gothic" w:hAnsi="Century Gothic"/>
          <w:b/>
        </w:rPr>
        <w:t xml:space="preserve">La Paz </w:t>
      </w:r>
      <w:r w:rsidRPr="008B39AC">
        <w:rPr>
          <w:rFonts w:ascii="Century Gothic" w:hAnsi="Century Gothic"/>
          <w:b/>
        </w:rPr>
        <w:t>l</w:t>
      </w:r>
      <w:r w:rsidR="00305268" w:rsidRPr="008B39AC">
        <w:rPr>
          <w:rFonts w:ascii="Century Gothic" w:hAnsi="Century Gothic"/>
          <w:b/>
        </w:rPr>
        <w:t xml:space="preserve">os más pobres </w:t>
      </w:r>
      <w:r w:rsidRPr="008B39AC">
        <w:rPr>
          <w:rFonts w:ascii="Century Gothic" w:hAnsi="Century Gothic"/>
          <w:b/>
        </w:rPr>
        <w:t xml:space="preserve">gastan 12% </w:t>
      </w:r>
      <w:r w:rsidR="00305268" w:rsidRPr="008B39AC">
        <w:rPr>
          <w:rFonts w:ascii="Century Gothic" w:hAnsi="Century Gothic"/>
          <w:b/>
        </w:rPr>
        <w:t xml:space="preserve">en transporte </w:t>
      </w:r>
    </w:p>
    <w:p w:rsidR="00305268" w:rsidRPr="008B39AC" w:rsidRDefault="00305268" w:rsidP="00305268">
      <w:pPr>
        <w:pStyle w:val="Sinespaciado1"/>
        <w:jc w:val="both"/>
        <w:rPr>
          <w:rFonts w:ascii="Century Gothic" w:hAnsi="Century Gothic"/>
          <w:b/>
        </w:rPr>
      </w:pPr>
    </w:p>
    <w:p w:rsidR="00305268" w:rsidRPr="008B39AC" w:rsidRDefault="00305268" w:rsidP="00305268">
      <w:pPr>
        <w:pStyle w:val="Sinespaciado1"/>
        <w:jc w:val="both"/>
        <w:rPr>
          <w:rFonts w:ascii="Century Gothic" w:hAnsi="Century Gothic" w:cs="MyriadPro-Regular"/>
        </w:rPr>
      </w:pPr>
      <w:r w:rsidRPr="008B39AC">
        <w:rPr>
          <w:rFonts w:ascii="Century Gothic" w:hAnsi="Century Gothic" w:cs="MyriadPro-Regular"/>
        </w:rPr>
        <w:t>En el cálculo de la inflación para la ciudad de La Paz, por parte del INE, el gasto promedio de la población en servicios de transporte urbano en trufi, minibús, microbús, taxi o radiotaxi representa 9,9%</w:t>
      </w:r>
      <w:r w:rsidR="00B400A2" w:rsidRPr="008B39AC">
        <w:rPr>
          <w:rFonts w:ascii="Century Gothic" w:hAnsi="Century Gothic" w:cs="MyriadPro-Regular"/>
        </w:rPr>
        <w:t xml:space="preserve"> de sus ingresos</w:t>
      </w:r>
      <w:r w:rsidRPr="008B39AC">
        <w:rPr>
          <w:rFonts w:ascii="Century Gothic" w:hAnsi="Century Gothic" w:cs="MyriadPro-Regular"/>
        </w:rPr>
        <w:t>. Pero al analizar la estructura de consumo de los hogares más pobres, el gasto en servicios de transporte significa 12% de su estructura de gastos.</w:t>
      </w:r>
    </w:p>
    <w:p w:rsidR="00305268" w:rsidRPr="008B39AC" w:rsidRDefault="00305268" w:rsidP="00305268">
      <w:pPr>
        <w:pStyle w:val="Sinespaciado1"/>
        <w:spacing w:before="120" w:after="120"/>
        <w:jc w:val="center"/>
        <w:rPr>
          <w:rFonts w:ascii="Century Gothic" w:hAnsi="Century Gothic" w:cs="MyriadPro-Regular"/>
        </w:rPr>
      </w:pPr>
      <w:r w:rsidRPr="008B39AC">
        <w:rPr>
          <w:rFonts w:ascii="Century Gothic" w:hAnsi="Century Gothic"/>
          <w:noProof/>
          <w:lang w:val="es-ES_tradnl" w:eastAsia="es-ES_tradnl"/>
        </w:rPr>
        <w:drawing>
          <wp:inline distT="0" distB="0" distL="0" distR="0">
            <wp:extent cx="4150614" cy="2309328"/>
            <wp:effectExtent l="2540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4149428" cy="2308668"/>
                    </a:xfrm>
                    <a:prstGeom prst="rect">
                      <a:avLst/>
                    </a:prstGeom>
                    <a:noFill/>
                    <a:ln w="9525">
                      <a:noFill/>
                      <a:miter lim="800000"/>
                      <a:headEnd/>
                      <a:tailEnd/>
                    </a:ln>
                  </pic:spPr>
                </pic:pic>
              </a:graphicData>
            </a:graphic>
          </wp:inline>
        </w:drawing>
      </w:r>
    </w:p>
    <w:p w:rsidR="00305268" w:rsidRPr="008B39AC" w:rsidRDefault="00305268" w:rsidP="00305268">
      <w:pPr>
        <w:pStyle w:val="Sinespaciado1"/>
        <w:spacing w:before="120" w:after="120"/>
        <w:jc w:val="both"/>
        <w:rPr>
          <w:rFonts w:ascii="Century Gothic" w:hAnsi="Century Gothic" w:cs="MyriadPro-Regular"/>
        </w:rPr>
      </w:pPr>
      <w:r w:rsidRPr="008B39AC">
        <w:rPr>
          <w:rFonts w:ascii="Century Gothic" w:hAnsi="Century Gothic" w:cs="MyriadPro-Regular"/>
        </w:rPr>
        <w:t>En hogares donde el jefe (a) del</w:t>
      </w:r>
      <w:r w:rsidR="007A660D" w:rsidRPr="008B39AC">
        <w:rPr>
          <w:rFonts w:ascii="Century Gothic" w:hAnsi="Century Gothic" w:cs="MyriadPro-Regular"/>
        </w:rPr>
        <w:t xml:space="preserve"> hogar realiza actividades en</w:t>
      </w:r>
      <w:r w:rsidRPr="008B39AC">
        <w:rPr>
          <w:rFonts w:ascii="Century Gothic" w:hAnsi="Century Gothic" w:cs="MyriadPro-Regular"/>
        </w:rPr>
        <w:t xml:space="preserve"> comercio, servicios y labores de apoyo</w:t>
      </w:r>
      <w:r w:rsidR="007A660D" w:rsidRPr="008B39AC">
        <w:rPr>
          <w:rFonts w:ascii="Century Gothic" w:hAnsi="Century Gothic" w:cs="MyriadPro-Regular"/>
        </w:rPr>
        <w:t>,</w:t>
      </w:r>
      <w:r w:rsidRPr="008B39AC">
        <w:rPr>
          <w:rFonts w:ascii="Century Gothic" w:hAnsi="Century Gothic" w:cs="MyriadPro-Regular"/>
        </w:rPr>
        <w:t xml:space="preserve"> </w:t>
      </w:r>
      <w:r w:rsidR="007A660D" w:rsidRPr="008B39AC">
        <w:rPr>
          <w:rFonts w:ascii="Century Gothic" w:hAnsi="Century Gothic" w:cs="MyriadPro-Regular"/>
        </w:rPr>
        <w:t>sus gastos en transporte representan</w:t>
      </w:r>
      <w:r w:rsidRPr="008B39AC">
        <w:rPr>
          <w:rFonts w:ascii="Century Gothic" w:hAnsi="Century Gothic" w:cs="MyriadPro-Regular"/>
        </w:rPr>
        <w:t xml:space="preserve"> 13%. En cambio, personas que trabajan como profesionales y directivos gastan en este servicio</w:t>
      </w:r>
      <w:r w:rsidR="007A660D" w:rsidRPr="008B39AC">
        <w:rPr>
          <w:rFonts w:ascii="Century Gothic" w:hAnsi="Century Gothic" w:cs="MyriadPro-Regular"/>
        </w:rPr>
        <w:t>,</w:t>
      </w:r>
      <w:r w:rsidRPr="008B39AC">
        <w:rPr>
          <w:rFonts w:ascii="Century Gothic" w:hAnsi="Century Gothic" w:cs="MyriadPro-Regular"/>
        </w:rPr>
        <w:t xml:space="preserve"> en su hogar</w:t>
      </w:r>
      <w:r w:rsidR="007A660D" w:rsidRPr="008B39AC">
        <w:rPr>
          <w:rFonts w:ascii="Century Gothic" w:hAnsi="Century Gothic" w:cs="MyriadPro-Regular"/>
        </w:rPr>
        <w:t>,</w:t>
      </w:r>
      <w:r w:rsidRPr="008B39AC">
        <w:rPr>
          <w:rFonts w:ascii="Century Gothic" w:hAnsi="Century Gothic" w:cs="MyriadPro-Regular"/>
        </w:rPr>
        <w:t xml:space="preserve"> 10,2% y 9,1%, respectivamente.</w:t>
      </w:r>
    </w:p>
    <w:p w:rsidR="00305268" w:rsidRPr="008B39AC" w:rsidRDefault="00305268" w:rsidP="00305268">
      <w:pPr>
        <w:pStyle w:val="Sinespaciado1"/>
        <w:spacing w:before="120" w:after="120"/>
        <w:jc w:val="both"/>
        <w:rPr>
          <w:rFonts w:ascii="Century Gothic" w:hAnsi="Century Gothic" w:cs="MyriadPro-Regular"/>
        </w:rPr>
      </w:pPr>
      <w:r w:rsidRPr="008B39AC">
        <w:rPr>
          <w:rFonts w:ascii="Century Gothic" w:hAnsi="Century Gothic" w:cs="MyriadPro-Regular"/>
        </w:rPr>
        <w:t xml:space="preserve">De igual forma, los datos confirman que en hogares con mayor cantidad de miembros </w:t>
      </w:r>
      <w:r w:rsidR="007A660D" w:rsidRPr="008B39AC">
        <w:rPr>
          <w:rFonts w:ascii="Century Gothic" w:hAnsi="Century Gothic" w:cs="MyriadPro-Regular"/>
        </w:rPr>
        <w:t>del hogar gastan más de</w:t>
      </w:r>
      <w:r w:rsidRPr="008B39AC">
        <w:rPr>
          <w:rFonts w:ascii="Century Gothic" w:hAnsi="Century Gothic" w:cs="MyriadPro-Regular"/>
        </w:rPr>
        <w:t xml:space="preserve"> 12% de sus ingresos en el transporte de sus miembros.</w:t>
      </w:r>
    </w:p>
    <w:p w:rsidR="007A660D" w:rsidRPr="008B39AC" w:rsidRDefault="007A660D" w:rsidP="00305268">
      <w:pPr>
        <w:pStyle w:val="Sinespaciado1"/>
        <w:jc w:val="both"/>
        <w:rPr>
          <w:rFonts w:ascii="Century Gothic" w:hAnsi="Century Gothic"/>
          <w:b/>
        </w:rPr>
      </w:pPr>
    </w:p>
    <w:p w:rsidR="00305268" w:rsidRPr="008B39AC" w:rsidRDefault="00B400A2" w:rsidP="00305268">
      <w:pPr>
        <w:pStyle w:val="Sinespaciado1"/>
        <w:jc w:val="both"/>
        <w:rPr>
          <w:rFonts w:ascii="Century Gothic" w:hAnsi="Century Gothic"/>
          <w:b/>
        </w:rPr>
      </w:pPr>
      <w:r w:rsidRPr="008B39AC">
        <w:rPr>
          <w:rFonts w:ascii="Century Gothic" w:hAnsi="Century Gothic"/>
          <w:b/>
        </w:rPr>
        <w:t xml:space="preserve">En </w:t>
      </w:r>
      <w:r w:rsidR="007A660D" w:rsidRPr="008B39AC">
        <w:rPr>
          <w:rFonts w:ascii="Century Gothic" w:hAnsi="Century Gothic"/>
          <w:b/>
        </w:rPr>
        <w:t xml:space="preserve">Santa Cruz </w:t>
      </w:r>
      <w:r w:rsidRPr="008B39AC">
        <w:rPr>
          <w:rFonts w:ascii="Century Gothic" w:hAnsi="Century Gothic"/>
          <w:b/>
        </w:rPr>
        <w:t xml:space="preserve">los más pobres gastan 12% en transporte </w:t>
      </w:r>
    </w:p>
    <w:p w:rsidR="00305268" w:rsidRPr="008B39AC" w:rsidRDefault="00305268" w:rsidP="00305268">
      <w:pPr>
        <w:pStyle w:val="Sinespaciado1"/>
        <w:jc w:val="both"/>
        <w:rPr>
          <w:rFonts w:ascii="Century Gothic" w:hAnsi="Century Gothic" w:cs="MyriadPro-Regular"/>
        </w:rPr>
      </w:pPr>
    </w:p>
    <w:p w:rsidR="00305268" w:rsidRPr="008B39AC" w:rsidRDefault="00305268" w:rsidP="00305268">
      <w:pPr>
        <w:pStyle w:val="Sinespaciado1"/>
        <w:jc w:val="both"/>
        <w:rPr>
          <w:rFonts w:ascii="Century Gothic" w:hAnsi="Century Gothic" w:cs="MyriadPro-Regular"/>
        </w:rPr>
      </w:pPr>
      <w:r w:rsidRPr="008B39AC">
        <w:rPr>
          <w:rFonts w:ascii="Century Gothic" w:hAnsi="Century Gothic" w:cs="MyriadPro-Regular"/>
        </w:rPr>
        <w:t>Para la ciudad de Santa Cruz de la Sierra</w:t>
      </w:r>
      <w:r w:rsidR="007A660D" w:rsidRPr="008B39AC">
        <w:rPr>
          <w:rFonts w:ascii="Century Gothic" w:hAnsi="Century Gothic" w:cs="MyriadPro-Regular"/>
        </w:rPr>
        <w:t>,</w:t>
      </w:r>
      <w:r w:rsidRPr="008B39AC">
        <w:rPr>
          <w:rFonts w:ascii="Century Gothic" w:hAnsi="Century Gothic" w:cs="MyriadPro-Regular"/>
        </w:rPr>
        <w:t xml:space="preserve"> el cálculo de</w:t>
      </w:r>
      <w:r w:rsidR="007A660D" w:rsidRPr="008B39AC">
        <w:rPr>
          <w:rFonts w:ascii="Century Gothic" w:hAnsi="Century Gothic" w:cs="MyriadPro-Regular"/>
        </w:rPr>
        <w:t>l</w:t>
      </w:r>
      <w:r w:rsidRPr="008B39AC">
        <w:rPr>
          <w:rFonts w:ascii="Century Gothic" w:hAnsi="Century Gothic" w:cs="MyriadPro-Regular"/>
        </w:rPr>
        <w:t xml:space="preserve"> </w:t>
      </w:r>
      <w:r w:rsidR="007A660D" w:rsidRPr="008B39AC">
        <w:rPr>
          <w:rFonts w:ascii="Century Gothic" w:hAnsi="Century Gothic" w:cs="MyriadPro-Regular"/>
        </w:rPr>
        <w:t>INE</w:t>
      </w:r>
      <w:r w:rsidRPr="008B39AC">
        <w:rPr>
          <w:rFonts w:ascii="Century Gothic" w:hAnsi="Century Gothic" w:cs="MyriadPro-Regular"/>
        </w:rPr>
        <w:t xml:space="preserve"> considera que el consumo promedio de su población en servicios de transporte urbano en trufi, microbús, taxi o radiotaxi representa</w:t>
      </w:r>
      <w:r w:rsidR="00B400A2" w:rsidRPr="008B39AC">
        <w:rPr>
          <w:rFonts w:ascii="Century Gothic" w:hAnsi="Century Gothic" w:cs="MyriadPro-Regular"/>
        </w:rPr>
        <w:t xml:space="preserve"> 8,</w:t>
      </w:r>
      <w:r w:rsidRPr="008B39AC">
        <w:rPr>
          <w:rFonts w:ascii="Century Gothic" w:hAnsi="Century Gothic" w:cs="MyriadPro-Regular"/>
        </w:rPr>
        <w:t>6%</w:t>
      </w:r>
      <w:r w:rsidR="00B400A2" w:rsidRPr="008B39AC">
        <w:rPr>
          <w:rFonts w:ascii="Century Gothic" w:hAnsi="Century Gothic" w:cs="MyriadPro-Regular"/>
        </w:rPr>
        <w:t xml:space="preserve"> de sus ingresos</w:t>
      </w:r>
      <w:r w:rsidRPr="008B39AC">
        <w:rPr>
          <w:rFonts w:ascii="Century Gothic" w:hAnsi="Century Gothic" w:cs="MyriadPro-Regular"/>
        </w:rPr>
        <w:t xml:space="preserve">. Pero al analizar la estructura de consumo de los hogares más pobres, el gasto en servicios de transporte </w:t>
      </w:r>
      <w:r w:rsidR="00B400A2" w:rsidRPr="008B39AC">
        <w:rPr>
          <w:rFonts w:ascii="Century Gothic" w:hAnsi="Century Gothic" w:cs="MyriadPro-Regular"/>
        </w:rPr>
        <w:t xml:space="preserve">significa </w:t>
      </w:r>
      <w:r w:rsidRPr="008B39AC">
        <w:rPr>
          <w:rFonts w:ascii="Century Gothic" w:hAnsi="Century Gothic" w:cs="MyriadPro-Regular"/>
        </w:rPr>
        <w:t>10% de su estructura de gastos.</w:t>
      </w:r>
    </w:p>
    <w:p w:rsidR="00305268" w:rsidRPr="008B39AC" w:rsidRDefault="00305268" w:rsidP="00305268">
      <w:pPr>
        <w:pStyle w:val="Sinespaciado1"/>
        <w:jc w:val="both"/>
        <w:rPr>
          <w:rFonts w:ascii="Century Gothic" w:hAnsi="Century Gothic" w:cs="MyriadPro-Regular"/>
        </w:rPr>
      </w:pPr>
    </w:p>
    <w:p w:rsidR="00305268" w:rsidRPr="008B39AC" w:rsidRDefault="00305268" w:rsidP="00305268">
      <w:pPr>
        <w:jc w:val="center"/>
        <w:rPr>
          <w:rFonts w:ascii="Century Gothic" w:hAnsi="Century Gothic"/>
        </w:rPr>
      </w:pPr>
      <w:r w:rsidRPr="008B39AC">
        <w:rPr>
          <w:rFonts w:ascii="Century Gothic" w:hAnsi="Century Gothic"/>
          <w:noProof/>
          <w:lang w:val="es-ES_tradnl" w:eastAsia="es-ES_tradnl"/>
        </w:rPr>
        <w:drawing>
          <wp:inline distT="0" distB="0" distL="0" distR="0">
            <wp:extent cx="4235076" cy="2356320"/>
            <wp:effectExtent l="25400" t="0" r="6724"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4240273" cy="2359212"/>
                    </a:xfrm>
                    <a:prstGeom prst="rect">
                      <a:avLst/>
                    </a:prstGeom>
                    <a:noFill/>
                    <a:ln w="9525">
                      <a:noFill/>
                      <a:miter lim="800000"/>
                      <a:headEnd/>
                      <a:tailEnd/>
                    </a:ln>
                  </pic:spPr>
                </pic:pic>
              </a:graphicData>
            </a:graphic>
          </wp:inline>
        </w:drawing>
      </w:r>
    </w:p>
    <w:p w:rsidR="00305268" w:rsidRPr="008B39AC" w:rsidRDefault="00305268" w:rsidP="00305268">
      <w:pPr>
        <w:pStyle w:val="Sinespaciado1"/>
        <w:spacing w:before="120" w:after="120"/>
        <w:jc w:val="both"/>
        <w:rPr>
          <w:rFonts w:ascii="Century Gothic" w:hAnsi="Century Gothic" w:cs="MyriadPro-Regular"/>
        </w:rPr>
      </w:pPr>
      <w:r w:rsidRPr="008B39AC">
        <w:rPr>
          <w:rFonts w:ascii="Century Gothic" w:hAnsi="Century Gothic" w:cs="MyriadPro-Regular"/>
        </w:rPr>
        <w:t>En hogares donde el jefe (a) del hogar realiza actividades referidas a las industrias extractivas, manufactureras, construcción, así como los obreros no calificados</w:t>
      </w:r>
      <w:r w:rsidR="00B400A2" w:rsidRPr="008B39AC">
        <w:rPr>
          <w:rFonts w:ascii="Century Gothic" w:hAnsi="Century Gothic" w:cs="MyriadPro-Regular"/>
        </w:rPr>
        <w:t>,</w:t>
      </w:r>
      <w:r w:rsidRPr="008B39AC">
        <w:rPr>
          <w:rFonts w:ascii="Century Gothic" w:hAnsi="Century Gothic" w:cs="MyriadPro-Regular"/>
        </w:rPr>
        <w:t xml:space="preserve"> sus gastos en transporte son</w:t>
      </w:r>
      <w:r w:rsidR="00B400A2" w:rsidRPr="008B39AC">
        <w:rPr>
          <w:rFonts w:ascii="Century Gothic" w:hAnsi="Century Gothic" w:cs="MyriadPro-Regular"/>
        </w:rPr>
        <w:t xml:space="preserve"> más de</w:t>
      </w:r>
      <w:r w:rsidRPr="008B39AC">
        <w:rPr>
          <w:rFonts w:ascii="Century Gothic" w:hAnsi="Century Gothic" w:cs="MyriadPro-Regular"/>
        </w:rPr>
        <w:t xml:space="preserve"> 9% de sus ingresos. En cambio, personas que trabajan como empleados o profesionales gastan en este servicio en su hogar 6% y </w:t>
      </w:r>
      <w:r w:rsidR="00B400A2" w:rsidRPr="008B39AC">
        <w:rPr>
          <w:rFonts w:ascii="Century Gothic" w:hAnsi="Century Gothic" w:cs="MyriadPro-Regular"/>
        </w:rPr>
        <w:t xml:space="preserve">directivos </w:t>
      </w:r>
      <w:r w:rsidRPr="008B39AC">
        <w:rPr>
          <w:rFonts w:ascii="Century Gothic" w:hAnsi="Century Gothic" w:cs="MyriadPro-Regular"/>
        </w:rPr>
        <w:t>5%.</w:t>
      </w:r>
    </w:p>
    <w:p w:rsidR="00305268" w:rsidRPr="008B39AC" w:rsidRDefault="00305268" w:rsidP="00305268">
      <w:pPr>
        <w:pStyle w:val="Sinespaciado1"/>
        <w:spacing w:before="120" w:after="120"/>
        <w:jc w:val="both"/>
        <w:rPr>
          <w:rFonts w:ascii="Century Gothic" w:hAnsi="Century Gothic" w:cs="MyriadPro-Regular"/>
        </w:rPr>
      </w:pPr>
      <w:r w:rsidRPr="008B39AC">
        <w:rPr>
          <w:rFonts w:ascii="Century Gothic" w:hAnsi="Century Gothic" w:cs="MyriadPro-Regular"/>
        </w:rPr>
        <w:t>De forma contraria a lo que sucede en la ciudad de La Paz</w:t>
      </w:r>
      <w:r w:rsidR="00B400A2" w:rsidRPr="008B39AC">
        <w:rPr>
          <w:rFonts w:ascii="Century Gothic" w:hAnsi="Century Gothic" w:cs="MyriadPro-Regular"/>
        </w:rPr>
        <w:t>,</w:t>
      </w:r>
      <w:r w:rsidRPr="008B39AC">
        <w:rPr>
          <w:rFonts w:ascii="Century Gothic" w:hAnsi="Century Gothic" w:cs="MyriadPro-Regular"/>
        </w:rPr>
        <w:t xml:space="preserve"> los datos muestran que en hogares con un solo miembro </w:t>
      </w:r>
      <w:r w:rsidR="00B400A2" w:rsidRPr="008B39AC">
        <w:rPr>
          <w:rFonts w:ascii="Century Gothic" w:hAnsi="Century Gothic" w:cs="MyriadPro-Regular"/>
        </w:rPr>
        <w:t xml:space="preserve">se </w:t>
      </w:r>
      <w:r w:rsidR="00234E00" w:rsidRPr="008B39AC">
        <w:rPr>
          <w:rFonts w:ascii="Century Gothic" w:hAnsi="Century Gothic" w:cs="MyriadPro-Regular"/>
        </w:rPr>
        <w:t>gasta</w:t>
      </w:r>
      <w:r w:rsidRPr="008B39AC">
        <w:rPr>
          <w:rFonts w:ascii="Century Gothic" w:hAnsi="Century Gothic" w:cs="MyriadPro-Regular"/>
        </w:rPr>
        <w:t xml:space="preserve"> 9% en transporte, superior al gasto realizado por hogares con mayor cantidad de miembros</w:t>
      </w:r>
      <w:r w:rsidR="00234E00" w:rsidRPr="008B39AC">
        <w:rPr>
          <w:rFonts w:ascii="Century Gothic" w:hAnsi="Century Gothic" w:cs="MyriadPro-Regular"/>
        </w:rPr>
        <w:t>,</w:t>
      </w:r>
      <w:r w:rsidRPr="008B39AC">
        <w:rPr>
          <w:rFonts w:ascii="Century Gothic" w:hAnsi="Century Gothic" w:cs="MyriadPro-Regular"/>
        </w:rPr>
        <w:t xml:space="preserve"> que es 8%.</w:t>
      </w:r>
    </w:p>
    <w:p w:rsidR="00305268" w:rsidRPr="008B39AC" w:rsidRDefault="00305268" w:rsidP="00305268">
      <w:pPr>
        <w:jc w:val="both"/>
        <w:rPr>
          <w:rFonts w:ascii="Century Gothic" w:hAnsi="Century Gothic"/>
        </w:rPr>
      </w:pPr>
      <w:r w:rsidRPr="008B39AC">
        <w:rPr>
          <w:rFonts w:ascii="Century Gothic" w:hAnsi="Century Gothic"/>
        </w:rPr>
        <w:t xml:space="preserve">Siendo la inflación una de las variables más sensibles para la economía de los hogares, Fundación Jubileo considera que es necesario actualizar el Índice de Precios al Consumidor (IPC), el mismo que está vigente desde el año 2007, con una estructura de consumo de hace </w:t>
      </w:r>
      <w:r w:rsidR="00234E00" w:rsidRPr="008B39AC">
        <w:rPr>
          <w:rFonts w:ascii="Century Gothic" w:hAnsi="Century Gothic"/>
        </w:rPr>
        <w:t xml:space="preserve">10 </w:t>
      </w:r>
      <w:r w:rsidRPr="008B39AC">
        <w:rPr>
          <w:rFonts w:ascii="Century Gothic" w:hAnsi="Century Gothic"/>
        </w:rPr>
        <w:t>años.</w:t>
      </w:r>
    </w:p>
    <w:p w:rsidR="00D3549E" w:rsidRPr="008B39AC" w:rsidRDefault="00305268" w:rsidP="00D3549E">
      <w:pPr>
        <w:rPr>
          <w:rFonts w:ascii="Century Gothic" w:hAnsi="Century Gothic"/>
          <w:b/>
          <w:i/>
        </w:rPr>
      </w:pPr>
      <w:r w:rsidRPr="008B39AC">
        <w:rPr>
          <w:rFonts w:ascii="Century Gothic" w:hAnsi="Century Gothic"/>
          <w:b/>
          <w:i/>
        </w:rPr>
        <w:t>Fundación Jubileo</w:t>
      </w:r>
      <w:r w:rsidRPr="008B39AC">
        <w:rPr>
          <w:rFonts w:ascii="Century Gothic" w:hAnsi="Century Gothic"/>
          <w:i/>
        </w:rPr>
        <w:br/>
      </w:r>
      <w:r w:rsidR="009C6169" w:rsidRPr="008B39AC">
        <w:rPr>
          <w:rFonts w:ascii="Century Gothic" w:hAnsi="Century Gothic"/>
          <w:i/>
        </w:rPr>
        <w:t>M</w:t>
      </w:r>
      <w:r w:rsidRPr="008B39AC">
        <w:rPr>
          <w:rFonts w:ascii="Century Gothic" w:hAnsi="Century Gothic"/>
          <w:i/>
        </w:rPr>
        <w:t>arzo de 2013</w:t>
      </w:r>
    </w:p>
    <w:sectPr w:rsidR="00D3549E" w:rsidRPr="008B39AC" w:rsidSect="00D3549E">
      <w:headerReference w:type="default" r:id="rId13"/>
      <w:footerReference w:type="default" r:id="rId14"/>
      <w:pgSz w:w="12240" w:h="15840" w:code="1"/>
      <w:pgMar w:top="1418" w:right="1701" w:bottom="1418" w:left="1701" w:header="709" w:footer="709" w:gutter="0"/>
      <w:cols w:space="708"/>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BE760C" w:rsidRDefault="00BE760C" w:rsidP="00D3549E">
      <w:pPr>
        <w:spacing w:after="0" w:line="240" w:lineRule="auto"/>
      </w:pPr>
      <w:r>
        <w:separator/>
      </w:r>
    </w:p>
  </w:endnote>
  <w:endnote w:type="continuationSeparator" w:id="1">
    <w:p w:rsidR="00BE760C" w:rsidRDefault="00BE760C" w:rsidP="00D354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entury Gothic">
    <w:panose1 w:val="020B0502020202020204"/>
    <w:charset w:val="00"/>
    <w:family w:val="auto"/>
    <w:pitch w:val="variable"/>
    <w:sig w:usb0="00000003" w:usb1="00000000" w:usb2="00000000" w:usb3="00000000" w:csb0="00000001" w:csb1="00000000"/>
  </w:font>
  <w:font w:name="MyriadPro-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BE760C" w:rsidRPr="00531C65" w:rsidRDefault="00BE760C">
    <w:pPr>
      <w:pStyle w:val="Piedepgina"/>
      <w:jc w:val="right"/>
      <w:rPr>
        <w:sz w:val="20"/>
      </w:rPr>
    </w:pPr>
    <w:fldSimple w:instr=" PAGE   \* MERGEFORMAT ">
      <w:r w:rsidR="008B39AC" w:rsidRPr="008B39AC">
        <w:rPr>
          <w:noProof/>
          <w:sz w:val="20"/>
        </w:rPr>
        <w:t>2</w:t>
      </w:r>
    </w:fldSimple>
  </w:p>
  <w:p w:rsidR="00BE760C" w:rsidRPr="00531C65" w:rsidRDefault="00BE760C">
    <w:pPr>
      <w:pStyle w:val="Piedepgina"/>
      <w:rPr>
        <w:sz w:val="20"/>
      </w:rPr>
    </w:pPr>
    <w:r>
      <w:rPr>
        <w:noProof/>
        <w:sz w:val="20"/>
        <w:lang w:val="es-ES_tradnl" w:eastAsia="es-ES_tradnl"/>
      </w:rPr>
      <w:pict>
        <v:rect id="_x0000_s24580" style="position:absolute;margin-left:-11.3pt;margin-top:6.6pt;width:474pt;height:5.3pt;flip:y;z-index:251658240;mso-wrap-edited:f" wrapcoords="-34 0 -34 15428 21600 15428 21600 0 -34 0" fillcolor="#036" stroked="f">
          <w10:wrap type="tight"/>
        </v:rect>
      </w:pict>
    </w:r>
  </w:p>
</w:ftr>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BE760C" w:rsidRDefault="00BE760C" w:rsidP="00D3549E">
      <w:pPr>
        <w:spacing w:after="0" w:line="240" w:lineRule="auto"/>
      </w:pPr>
      <w:r>
        <w:separator/>
      </w:r>
    </w:p>
  </w:footnote>
  <w:footnote w:type="continuationSeparator" w:id="1">
    <w:p w:rsidR="00BE760C" w:rsidRDefault="00BE760C" w:rsidP="00D3549E">
      <w:pPr>
        <w:spacing w:after="0" w:line="240" w:lineRule="auto"/>
      </w:pPr>
      <w:r>
        <w:continuationSeparator/>
      </w:r>
    </w:p>
  </w:footnote>
</w:footnotes>
</file>

<file path=word/header1.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BE760C" w:rsidRDefault="00BE760C">
    <w:pPr>
      <w:pStyle w:val="Encabezado"/>
    </w:pPr>
    <w:r>
      <w:rPr>
        <w:noProof/>
        <w:lang w:val="es-ES_tradnl" w:eastAsia="es-ES_tradnl"/>
      </w:rPr>
      <w:pict>
        <v:group id="_x0000_s24577" style="position:absolute;margin-left:-11.3pt;margin-top:5.4pt;width:471pt;height:5.3pt;z-index:251657216" coordorigin="1699,3060" coordsize="8820,115" wrapcoords="-34 0 -34 3085 17369 15428 19329 15428 21634 15428 21668 0 -34 0">
          <v:line id="_x0000_s24578" style="position:absolute" from="1699,3060" to="10519,3060" strokecolor="#036"/>
          <v:rect id="_x0000_s24579" style="position:absolute;left:9619;top:3060;width:900;height:115" fillcolor="#036" stroked="f"/>
          <w10:wrap type="tight"/>
        </v:group>
      </w:pict>
    </w:r>
  </w:p>
</w:hdr>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133474A8"/>
    <w:multiLevelType w:val="hybridMultilevel"/>
    <w:tmpl w:val="49EC645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DisplayPageBoundaries/>
  <w:proofState w:spelling="clean" w:grammar="clean"/>
  <w:stylePaneFormatFilter w:val="3701"/>
  <w:doNotTrackMoves/>
  <w:defaultTabStop w:val="708"/>
  <w:hyphenationZone w:val="425"/>
  <w:drawingGridHorizontalSpacing w:val="110"/>
  <w:displayHorizontalDrawingGridEvery w:val="2"/>
  <w:characterSpacingControl w:val="doNotCompress"/>
  <w:hdrShapeDefaults>
    <o:shapedefaults v:ext="edit" spidmax="24583">
      <o:colormru v:ext="edit" colors="#4c9fff,#e6f1ff"/>
    </o:shapedefaults>
    <o:shapelayout v:ext="edit">
      <o:idmap v:ext="edit" data="24"/>
    </o:shapelayout>
  </w:hdrShapeDefaults>
  <w:footnotePr>
    <w:footnote w:id="0"/>
    <w:footnote w:id="1"/>
  </w:footnotePr>
  <w:endnotePr>
    <w:endnote w:id="0"/>
    <w:endnote w:id="1"/>
  </w:endnotePr>
  <w:compat/>
  <w:rsids>
    <w:rsidRoot w:val="001C7E17"/>
    <w:rsid w:val="0015206E"/>
    <w:rsid w:val="001C7E17"/>
    <w:rsid w:val="00210BF6"/>
    <w:rsid w:val="00224D3E"/>
    <w:rsid w:val="00234E00"/>
    <w:rsid w:val="0029163C"/>
    <w:rsid w:val="002F6770"/>
    <w:rsid w:val="00305268"/>
    <w:rsid w:val="004B1F01"/>
    <w:rsid w:val="004E5CD4"/>
    <w:rsid w:val="00575275"/>
    <w:rsid w:val="006768B8"/>
    <w:rsid w:val="0069038B"/>
    <w:rsid w:val="007A660D"/>
    <w:rsid w:val="007C26F6"/>
    <w:rsid w:val="00863526"/>
    <w:rsid w:val="008B39AC"/>
    <w:rsid w:val="009C6169"/>
    <w:rsid w:val="00A12F0F"/>
    <w:rsid w:val="00A57B08"/>
    <w:rsid w:val="00A81A1C"/>
    <w:rsid w:val="00A93B9A"/>
    <w:rsid w:val="00A9419F"/>
    <w:rsid w:val="00AC78F9"/>
    <w:rsid w:val="00B400A2"/>
    <w:rsid w:val="00B71208"/>
    <w:rsid w:val="00B82938"/>
    <w:rsid w:val="00B83F74"/>
    <w:rsid w:val="00BE760C"/>
    <w:rsid w:val="00D3549E"/>
    <w:rsid w:val="00DC0E99"/>
    <w:rsid w:val="00E97982"/>
    <w:rsid w:val="00F36297"/>
    <w:rsid w:val="00F850D6"/>
  </w:rsids>
  <m:mathPr>
    <m:mathFont m:val="Impact"/>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4583">
      <o:colormru v:ext="edit" colors="#4c9fff,#e6f1f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4"/>
        <w:szCs w:val="24"/>
        <w:lang w:val="es-ES" w:eastAsia="es-ES" w:bidi="ar-SA"/>
      </w:rPr>
    </w:rPrDefault>
    <w:pPrDefault/>
  </w:docDefaults>
  <w:latentStyles w:defLockedState="0" w:defUIPriority="0" w:defSemiHidden="0" w:defUnhideWhenUsed="0" w:defQFormat="0" w:count="276"/>
  <w:style w:type="paragraph" w:default="1" w:styleId="Normal">
    <w:name w:val="Normal"/>
    <w:qFormat/>
    <w:rsid w:val="0045450B"/>
    <w:pPr>
      <w:spacing w:after="200" w:line="276" w:lineRule="auto"/>
    </w:pPr>
    <w:rPr>
      <w:sz w:val="22"/>
      <w:szCs w:val="22"/>
      <w:lang w:eastAsia="en-US"/>
    </w:rPr>
  </w:style>
  <w:style w:type="paragraph" w:styleId="Ttulo1">
    <w:name w:val="heading 1"/>
    <w:basedOn w:val="Normal"/>
    <w:next w:val="Normal"/>
    <w:link w:val="Ttulo1Car"/>
    <w:qFormat/>
    <w:rsid w:val="00CA5CD1"/>
    <w:pPr>
      <w:keepNext/>
      <w:keepLines/>
      <w:spacing w:before="480" w:after="0"/>
      <w:outlineLvl w:val="0"/>
    </w:pPr>
    <w:rPr>
      <w:rFonts w:ascii="Cambria" w:eastAsia="Times New Roman" w:hAnsi="Cambria"/>
      <w:b/>
      <w:bCs/>
      <w:color w:val="365F91"/>
      <w:sz w:val="28"/>
      <w:szCs w:val="28"/>
    </w:rPr>
  </w:style>
  <w:style w:type="paragraph" w:styleId="Ttulo2">
    <w:name w:val="heading 2"/>
    <w:basedOn w:val="Normal"/>
    <w:link w:val="Ttulo2Car"/>
    <w:uiPriority w:val="9"/>
    <w:qFormat/>
    <w:rsid w:val="004D5B7A"/>
    <w:pPr>
      <w:spacing w:before="100" w:beforeAutospacing="1" w:after="100" w:afterAutospacing="1" w:line="240" w:lineRule="auto"/>
      <w:outlineLvl w:val="1"/>
    </w:pPr>
    <w:rPr>
      <w:rFonts w:ascii="Times New Roman" w:eastAsia="Times New Roman" w:hAnsi="Times New Roman"/>
      <w:b/>
      <w:bCs/>
      <w:sz w:val="36"/>
      <w:szCs w:val="36"/>
      <w:lang w:eastAsia="es-ES"/>
    </w:rPr>
  </w:style>
  <w:style w:type="character" w:default="1" w:styleId="Fuentedeprrafopredeter">
    <w:name w:val="Default Paragraph Font"/>
    <w:semiHidden/>
    <w:unhideWhenUsed/>
  </w:style>
  <w:style w:type="table" w:default="1" w:styleId="Tablanormal">
    <w:name w:val="Normal Table"/>
    <w:semiHidden/>
    <w:unhideWhenUsed/>
    <w:qFormat/>
    <w:tblPr>
      <w:tblInd w:w="0" w:type="dxa"/>
      <w:tblCellMar>
        <w:top w:w="0" w:type="dxa"/>
        <w:left w:w="108" w:type="dxa"/>
        <w:bottom w:w="0" w:type="dxa"/>
        <w:right w:w="108" w:type="dxa"/>
      </w:tblCellMar>
    </w:tblPr>
  </w:style>
  <w:style w:type="numbering" w:default="1" w:styleId="Sinlista">
    <w:name w:val="No List"/>
    <w:semiHidden/>
    <w:unhideWhenUsed/>
  </w:style>
  <w:style w:type="character" w:customStyle="1" w:styleId="Ttulo1Car">
    <w:name w:val="Título 1 Car"/>
    <w:basedOn w:val="Fuentedeprrafopredeter"/>
    <w:link w:val="Ttulo1"/>
    <w:rsid w:val="00CA5CD1"/>
    <w:rPr>
      <w:rFonts w:ascii="Cambria" w:eastAsia="Times New Roman" w:hAnsi="Cambria" w:cs="Times New Roman"/>
      <w:b/>
      <w:bCs/>
      <w:color w:val="365F91"/>
      <w:sz w:val="28"/>
      <w:szCs w:val="28"/>
      <w:lang w:eastAsia="en-US"/>
    </w:rPr>
  </w:style>
  <w:style w:type="character" w:customStyle="1" w:styleId="Ttulo2Car">
    <w:name w:val="Título 2 Car"/>
    <w:basedOn w:val="Fuentedeprrafopredeter"/>
    <w:link w:val="Ttulo2"/>
    <w:uiPriority w:val="9"/>
    <w:rsid w:val="004D5B7A"/>
    <w:rPr>
      <w:rFonts w:ascii="Times New Roman" w:eastAsia="Times New Roman" w:hAnsi="Times New Roman"/>
      <w:b/>
      <w:bCs/>
      <w:sz w:val="36"/>
      <w:szCs w:val="36"/>
    </w:rPr>
  </w:style>
  <w:style w:type="paragraph" w:styleId="Textodeglobo">
    <w:name w:val="Balloon Text"/>
    <w:basedOn w:val="Normal"/>
    <w:link w:val="TextodegloboCar"/>
    <w:uiPriority w:val="99"/>
    <w:semiHidden/>
    <w:unhideWhenUsed/>
    <w:rsid w:val="00C0141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01417"/>
    <w:rPr>
      <w:rFonts w:ascii="Tahoma" w:hAnsi="Tahoma" w:cs="Tahoma"/>
      <w:sz w:val="16"/>
      <w:szCs w:val="16"/>
    </w:rPr>
  </w:style>
  <w:style w:type="paragraph" w:styleId="Textonotaalfinal">
    <w:name w:val="endnote text"/>
    <w:basedOn w:val="Normal"/>
    <w:link w:val="TextonotaalfinalCar"/>
    <w:uiPriority w:val="99"/>
    <w:semiHidden/>
    <w:unhideWhenUsed/>
    <w:rsid w:val="001B0518"/>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1B0518"/>
    <w:rPr>
      <w:sz w:val="20"/>
      <w:szCs w:val="20"/>
    </w:rPr>
  </w:style>
  <w:style w:type="character" w:styleId="Refdenotaalfinal">
    <w:name w:val="endnote reference"/>
    <w:basedOn w:val="Fuentedeprrafopredeter"/>
    <w:uiPriority w:val="99"/>
    <w:semiHidden/>
    <w:unhideWhenUsed/>
    <w:rsid w:val="001B0518"/>
    <w:rPr>
      <w:vertAlign w:val="superscript"/>
    </w:rPr>
  </w:style>
  <w:style w:type="paragraph" w:styleId="Textonotapie">
    <w:name w:val="footnote text"/>
    <w:basedOn w:val="Normal"/>
    <w:link w:val="TextonotapieCar"/>
    <w:uiPriority w:val="99"/>
    <w:semiHidden/>
    <w:unhideWhenUsed/>
    <w:rsid w:val="00A66C9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66C96"/>
    <w:rPr>
      <w:sz w:val="20"/>
      <w:szCs w:val="20"/>
    </w:rPr>
  </w:style>
  <w:style w:type="character" w:styleId="Refdenotaalpie">
    <w:name w:val="footnote reference"/>
    <w:basedOn w:val="Fuentedeprrafopredeter"/>
    <w:uiPriority w:val="99"/>
    <w:semiHidden/>
    <w:unhideWhenUsed/>
    <w:rsid w:val="00A66C96"/>
    <w:rPr>
      <w:vertAlign w:val="superscript"/>
    </w:rPr>
  </w:style>
  <w:style w:type="paragraph" w:styleId="Encabezado">
    <w:name w:val="header"/>
    <w:basedOn w:val="Normal"/>
    <w:link w:val="EncabezadoCar"/>
    <w:uiPriority w:val="99"/>
    <w:semiHidden/>
    <w:unhideWhenUsed/>
    <w:rsid w:val="00531C6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531C65"/>
  </w:style>
  <w:style w:type="paragraph" w:styleId="Piedepgina">
    <w:name w:val="footer"/>
    <w:basedOn w:val="Normal"/>
    <w:link w:val="PiedepginaCar"/>
    <w:uiPriority w:val="99"/>
    <w:unhideWhenUsed/>
    <w:rsid w:val="00531C6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31C65"/>
  </w:style>
  <w:style w:type="table" w:styleId="Tablaconcuadrcula">
    <w:name w:val="Table Grid"/>
    <w:basedOn w:val="Tablanormal"/>
    <w:uiPriority w:val="59"/>
    <w:rsid w:val="00465A59"/>
    <w:rPr>
      <w:sz w:val="22"/>
      <w:szCs w:val="22"/>
      <w:lang w:val="es-ES_tradnl"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CA5CD1"/>
    <w:rPr>
      <w:color w:val="0000FF"/>
      <w:u w:val="single"/>
    </w:rPr>
  </w:style>
  <w:style w:type="paragraph" w:customStyle="1" w:styleId="Sinespaciado1">
    <w:name w:val="Sin espaciado1"/>
    <w:uiPriority w:val="1"/>
    <w:qFormat/>
    <w:rsid w:val="00947BDC"/>
    <w:rPr>
      <w:rFonts w:ascii="Cambria" w:eastAsia="Cambria" w:hAnsi="Cambria"/>
      <w:sz w:val="22"/>
      <w:szCs w:val="22"/>
      <w:lang w:eastAsia="en-US"/>
    </w:rPr>
  </w:style>
  <w:style w:type="table" w:customStyle="1" w:styleId="Sombreadoclaro-nfasis11">
    <w:name w:val="Sombreado claro - Énfasis 11"/>
    <w:basedOn w:val="Tablanormal"/>
    <w:uiPriority w:val="60"/>
    <w:rsid w:val="00947BDC"/>
    <w:rPr>
      <w:rFonts w:ascii="Cambria" w:eastAsia="Cambria" w:hAnsi="Cambria"/>
      <w:color w:val="365F91"/>
      <w:sz w:val="22"/>
      <w:szCs w:val="22"/>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s>
</file>

<file path=word/webSettings.xml><?xml version="1.0" encoding="utf-8"?>
<w:webSettings xmlns:r="http://schemas.openxmlformats.org/officeDocument/2006/relationships" xmlns:w="http://schemas.openxmlformats.org/wordprocessingml/2006/main">
  <w:divs>
    <w:div w:id="19164366">
      <w:bodyDiv w:val="1"/>
      <w:marLeft w:val="0"/>
      <w:marRight w:val="0"/>
      <w:marTop w:val="0"/>
      <w:marBottom w:val="0"/>
      <w:divBdr>
        <w:top w:val="none" w:sz="0" w:space="0" w:color="auto"/>
        <w:left w:val="none" w:sz="0" w:space="0" w:color="auto"/>
        <w:bottom w:val="none" w:sz="0" w:space="0" w:color="auto"/>
        <w:right w:val="none" w:sz="0" w:space="0" w:color="auto"/>
      </w:divBdr>
    </w:div>
    <w:div w:id="107892340">
      <w:bodyDiv w:val="1"/>
      <w:marLeft w:val="0"/>
      <w:marRight w:val="0"/>
      <w:marTop w:val="0"/>
      <w:marBottom w:val="0"/>
      <w:divBdr>
        <w:top w:val="none" w:sz="0" w:space="0" w:color="auto"/>
        <w:left w:val="none" w:sz="0" w:space="0" w:color="auto"/>
        <w:bottom w:val="none" w:sz="0" w:space="0" w:color="auto"/>
        <w:right w:val="none" w:sz="0" w:space="0" w:color="auto"/>
      </w:divBdr>
    </w:div>
    <w:div w:id="364714990">
      <w:bodyDiv w:val="1"/>
      <w:marLeft w:val="0"/>
      <w:marRight w:val="0"/>
      <w:marTop w:val="0"/>
      <w:marBottom w:val="0"/>
      <w:divBdr>
        <w:top w:val="none" w:sz="0" w:space="0" w:color="auto"/>
        <w:left w:val="none" w:sz="0" w:space="0" w:color="auto"/>
        <w:bottom w:val="none" w:sz="0" w:space="0" w:color="auto"/>
        <w:right w:val="none" w:sz="0" w:space="0" w:color="auto"/>
      </w:divBdr>
    </w:div>
    <w:div w:id="1052653374">
      <w:bodyDiv w:val="1"/>
      <w:marLeft w:val="0"/>
      <w:marRight w:val="0"/>
      <w:marTop w:val="0"/>
      <w:marBottom w:val="0"/>
      <w:divBdr>
        <w:top w:val="none" w:sz="0" w:space="0" w:color="auto"/>
        <w:left w:val="none" w:sz="0" w:space="0" w:color="auto"/>
        <w:bottom w:val="none" w:sz="0" w:space="0" w:color="auto"/>
        <w:right w:val="none" w:sz="0" w:space="0" w:color="auto"/>
      </w:divBdr>
    </w:div>
    <w:div w:id="1068116524">
      <w:bodyDiv w:val="1"/>
      <w:marLeft w:val="0"/>
      <w:marRight w:val="0"/>
      <w:marTop w:val="0"/>
      <w:marBottom w:val="0"/>
      <w:divBdr>
        <w:top w:val="none" w:sz="0" w:space="0" w:color="auto"/>
        <w:left w:val="none" w:sz="0" w:space="0" w:color="auto"/>
        <w:bottom w:val="none" w:sz="0" w:space="0" w:color="auto"/>
        <w:right w:val="none" w:sz="0" w:space="0" w:color="auto"/>
      </w:divBdr>
    </w:div>
    <w:div w:id="1096369705">
      <w:bodyDiv w:val="1"/>
      <w:marLeft w:val="0"/>
      <w:marRight w:val="0"/>
      <w:marTop w:val="0"/>
      <w:marBottom w:val="0"/>
      <w:divBdr>
        <w:top w:val="none" w:sz="0" w:space="0" w:color="auto"/>
        <w:left w:val="none" w:sz="0" w:space="0" w:color="auto"/>
        <w:bottom w:val="none" w:sz="0" w:space="0" w:color="auto"/>
        <w:right w:val="none" w:sz="0" w:space="0" w:color="auto"/>
      </w:divBdr>
    </w:div>
    <w:div w:id="1336761730">
      <w:bodyDiv w:val="1"/>
      <w:marLeft w:val="0"/>
      <w:marRight w:val="0"/>
      <w:marTop w:val="0"/>
      <w:marBottom w:val="0"/>
      <w:divBdr>
        <w:top w:val="none" w:sz="0" w:space="0" w:color="auto"/>
        <w:left w:val="none" w:sz="0" w:space="0" w:color="auto"/>
        <w:bottom w:val="none" w:sz="0" w:space="0" w:color="auto"/>
        <w:right w:val="none" w:sz="0" w:space="0" w:color="auto"/>
      </w:divBdr>
    </w:div>
    <w:div w:id="1520316442">
      <w:bodyDiv w:val="1"/>
      <w:marLeft w:val="0"/>
      <w:marRight w:val="0"/>
      <w:marTop w:val="0"/>
      <w:marBottom w:val="0"/>
      <w:divBdr>
        <w:top w:val="none" w:sz="0" w:space="0" w:color="auto"/>
        <w:left w:val="none" w:sz="0" w:space="0" w:color="auto"/>
        <w:bottom w:val="none" w:sz="0" w:space="0" w:color="auto"/>
        <w:right w:val="none" w:sz="0" w:space="0" w:color="auto"/>
      </w:divBdr>
    </w:div>
    <w:div w:id="1547910381">
      <w:bodyDiv w:val="1"/>
      <w:marLeft w:val="0"/>
      <w:marRight w:val="0"/>
      <w:marTop w:val="0"/>
      <w:marBottom w:val="0"/>
      <w:divBdr>
        <w:top w:val="none" w:sz="0" w:space="0" w:color="auto"/>
        <w:left w:val="none" w:sz="0" w:space="0" w:color="auto"/>
        <w:bottom w:val="none" w:sz="0" w:space="0" w:color="auto"/>
        <w:right w:val="none" w:sz="0" w:space="0" w:color="auto"/>
      </w:divBdr>
    </w:div>
    <w:div w:id="1669404698">
      <w:bodyDiv w:val="1"/>
      <w:marLeft w:val="0"/>
      <w:marRight w:val="0"/>
      <w:marTop w:val="0"/>
      <w:marBottom w:val="0"/>
      <w:divBdr>
        <w:top w:val="none" w:sz="0" w:space="0" w:color="auto"/>
        <w:left w:val="none" w:sz="0" w:space="0" w:color="auto"/>
        <w:bottom w:val="none" w:sz="0" w:space="0" w:color="auto"/>
        <w:right w:val="none" w:sz="0" w:space="0" w:color="auto"/>
      </w:divBdr>
    </w:div>
    <w:div w:id="1696925066">
      <w:bodyDiv w:val="1"/>
      <w:marLeft w:val="0"/>
      <w:marRight w:val="0"/>
      <w:marTop w:val="0"/>
      <w:marBottom w:val="0"/>
      <w:divBdr>
        <w:top w:val="none" w:sz="0" w:space="0" w:color="auto"/>
        <w:left w:val="none" w:sz="0" w:space="0" w:color="auto"/>
        <w:bottom w:val="none" w:sz="0" w:space="0" w:color="auto"/>
        <w:right w:val="none" w:sz="0" w:space="0" w:color="auto"/>
      </w:divBdr>
    </w:div>
    <w:div w:id="1835101497">
      <w:bodyDiv w:val="1"/>
      <w:marLeft w:val="0"/>
      <w:marRight w:val="0"/>
      <w:marTop w:val="0"/>
      <w:marBottom w:val="0"/>
      <w:divBdr>
        <w:top w:val="none" w:sz="0" w:space="0" w:color="auto"/>
        <w:left w:val="none" w:sz="0" w:space="0" w:color="auto"/>
        <w:bottom w:val="none" w:sz="0" w:space="0" w:color="auto"/>
        <w:right w:val="none" w:sz="0" w:space="0" w:color="auto"/>
      </w:divBdr>
    </w:div>
    <w:div w:id="19493134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5.emf"/><Relationship Id="rId12" Type="http://schemas.openxmlformats.org/officeDocument/2006/relationships/image" Target="media/image6.emf"/><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emf"/><Relationship Id="rId9" Type="http://schemas.openxmlformats.org/officeDocument/2006/relationships/image" Target="media/image3.emf"/><Relationship Id="rId10" Type="http://schemas.openxmlformats.org/officeDocument/2006/relationships/image" Target="media/image4.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596</Words>
  <Characters>3402</Characters>
  <Application>Microsoft Word 12.0.0</Application>
  <DocSecurity>0</DocSecurity>
  <Lines>28</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Fundación Jubileo</Company>
  <LinksUpToDate>false</LinksUpToDate>
  <CharactersWithSpaces>4177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dc:creator>
  <cp:keywords/>
  <dc:description/>
  <cp:lastModifiedBy>Jubileo MAC</cp:lastModifiedBy>
  <cp:revision>4</cp:revision>
  <cp:lastPrinted>2013-03-07T18:19:00Z</cp:lastPrinted>
  <dcterms:created xsi:type="dcterms:W3CDTF">2013-03-07T20:18:00Z</dcterms:created>
  <dcterms:modified xsi:type="dcterms:W3CDTF">2013-03-07T20:56:00Z</dcterms:modified>
</cp:coreProperties>
</file>