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5251C" w14:textId="77777777" w:rsidR="00374361" w:rsidRDefault="00374361" w:rsidP="00796794">
      <w:pPr>
        <w:jc w:val="center"/>
        <w:rPr>
          <w:sz w:val="24"/>
        </w:rPr>
      </w:pPr>
      <w:r>
        <w:rPr>
          <w:rFonts w:ascii="Century Gothic" w:hAnsi="Century Gothic"/>
          <w:noProof/>
          <w:sz w:val="12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5986B725" wp14:editId="202CFF01">
            <wp:simplePos x="0" y="0"/>
            <wp:positionH relativeFrom="column">
              <wp:posOffset>2171656</wp:posOffset>
            </wp:positionH>
            <wp:positionV relativeFrom="paragraph">
              <wp:posOffset>-209791</wp:posOffset>
            </wp:positionV>
            <wp:extent cx="950595" cy="567055"/>
            <wp:effectExtent l="0" t="0" r="1905" b="4445"/>
            <wp:wrapNone/>
            <wp:docPr id="5" name="Imagen 4" descr="Logo JUBILEO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JUBILEO 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AD6196" w14:textId="77777777" w:rsidR="00374361" w:rsidRDefault="00374361" w:rsidP="00796794">
      <w:pPr>
        <w:jc w:val="center"/>
        <w:rPr>
          <w:sz w:val="24"/>
        </w:rPr>
      </w:pPr>
    </w:p>
    <w:p w14:paraId="19859D19" w14:textId="4E58FFF9" w:rsidR="00F309D6" w:rsidRPr="00374361" w:rsidRDefault="00E66328" w:rsidP="00796794">
      <w:pPr>
        <w:jc w:val="center"/>
        <w:rPr>
          <w:sz w:val="24"/>
        </w:rPr>
      </w:pPr>
      <w:r w:rsidRPr="00374361">
        <w:rPr>
          <w:sz w:val="24"/>
        </w:rPr>
        <w:t>Verdades O</w:t>
      </w:r>
      <w:r w:rsidR="00C268BE">
        <w:rPr>
          <w:sz w:val="24"/>
        </w:rPr>
        <w:t>cultas</w:t>
      </w:r>
      <w:r w:rsidR="00C63BB7">
        <w:rPr>
          <w:sz w:val="24"/>
        </w:rPr>
        <w:t>: La Hora de la Naturaleza</w:t>
      </w:r>
    </w:p>
    <w:p w14:paraId="35E8873F" w14:textId="39327FA3" w:rsidR="00F309D6" w:rsidRDefault="00B61118" w:rsidP="00796794">
      <w:pPr>
        <w:jc w:val="center"/>
        <w:rPr>
          <w:b/>
        </w:rPr>
      </w:pPr>
      <w:r>
        <w:rPr>
          <w:b/>
        </w:rPr>
        <w:t xml:space="preserve">NO SE CUMPLIÓ EL OBJETIVO DE DIVERSIFICAR LA ECONOMÍA </w:t>
      </w:r>
      <w:r>
        <w:rPr>
          <w:b/>
        </w:rPr>
        <w:br/>
        <w:t>Y DISMINUIR LA DEPENDENCIA</w:t>
      </w:r>
      <w:r w:rsidR="00E66328" w:rsidRPr="00796794">
        <w:rPr>
          <w:b/>
        </w:rPr>
        <w:t xml:space="preserve"> </w:t>
      </w:r>
      <w:r>
        <w:rPr>
          <w:b/>
        </w:rPr>
        <w:t xml:space="preserve">DE LOS HIDROCARBUROS </w:t>
      </w:r>
    </w:p>
    <w:p w14:paraId="34995A72" w14:textId="77777777" w:rsidR="00050132" w:rsidRDefault="00050132" w:rsidP="00050132">
      <w:pPr>
        <w:pStyle w:val="Prrafodelista"/>
        <w:numPr>
          <w:ilvl w:val="0"/>
          <w:numId w:val="4"/>
        </w:numPr>
        <w:jc w:val="both"/>
      </w:pPr>
      <w:r>
        <w:t>El sector aport</w:t>
      </w:r>
      <w:r w:rsidR="00E66328">
        <w:t>ó</w:t>
      </w:r>
      <w:r>
        <w:t xml:space="preserve">, en promedio, </w:t>
      </w:r>
      <w:r w:rsidR="00796794">
        <w:t xml:space="preserve">con </w:t>
      </w:r>
      <w:r>
        <w:t>35% de los ingresos fiscales</w:t>
      </w:r>
      <w:r w:rsidR="00E66328">
        <w:t>.</w:t>
      </w:r>
    </w:p>
    <w:p w14:paraId="42DDA8D1" w14:textId="77777777" w:rsidR="00432FC2" w:rsidRDefault="00E66328" w:rsidP="00432FC2">
      <w:pPr>
        <w:pStyle w:val="Prrafodelista"/>
        <w:numPr>
          <w:ilvl w:val="0"/>
          <w:numId w:val="4"/>
        </w:numPr>
        <w:jc w:val="both"/>
      </w:pPr>
      <w:r>
        <w:t>La apuesta extractiva amenaza a parques naturales</w:t>
      </w:r>
      <w:r w:rsidR="00B61118">
        <w:t>.</w:t>
      </w:r>
    </w:p>
    <w:p w14:paraId="02B1DA05" w14:textId="170C322D" w:rsidR="00432FC2" w:rsidRDefault="00C63BB7" w:rsidP="00C63BB7">
      <w:pPr>
        <w:pStyle w:val="Prrafodelista"/>
        <w:numPr>
          <w:ilvl w:val="0"/>
          <w:numId w:val="4"/>
        </w:num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EF435D" wp14:editId="24CDD5E3">
                <wp:simplePos x="0" y="0"/>
                <wp:positionH relativeFrom="column">
                  <wp:posOffset>-1270</wp:posOffset>
                </wp:positionH>
                <wp:positionV relativeFrom="paragraph">
                  <wp:posOffset>532765</wp:posOffset>
                </wp:positionV>
                <wp:extent cx="5372735" cy="45085"/>
                <wp:effectExtent l="0" t="0" r="37465" b="5715"/>
                <wp:wrapTight wrapText="bothSides">
                  <wp:wrapPolygon edited="0">
                    <wp:start x="0" y="0"/>
                    <wp:lineTo x="0" y="12169"/>
                    <wp:lineTo x="19198" y="12169"/>
                    <wp:lineTo x="21649" y="12169"/>
                    <wp:lineTo x="21649" y="0"/>
                    <wp:lineTo x="0" y="0"/>
                  </wp:wrapPolygon>
                </wp:wrapTight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45085"/>
                          <a:chOff x="1699" y="3060"/>
                          <a:chExt cx="8820" cy="115"/>
                        </a:xfrm>
                      </wpg:grpSpPr>
                      <wps:wsp>
                        <wps:cNvPr id="4" name="Line 2"/>
                        <wps:cNvCnPr/>
                        <wps:spPr bwMode="auto">
                          <a:xfrm>
                            <a:off x="1699" y="3060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19" y="3060"/>
                            <a:ext cx="900" cy="115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7932F" id="Group 1" o:spid="_x0000_s1026" style="position:absolute;margin-left:-.1pt;margin-top:41.95pt;width:423.05pt;height:3.55pt;z-index:251661312" coordorigin="1699,3060" coordsize="8820,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">
                <v:line id="Line 2" o:spid="_x0000_s1027" style="position:absolute;visibility:visible;mso-wrap-style:square" from="1699,3060" to="10519,30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PbBMEAAADaAAAADwAAAGRycy9kb3ducmV2LnhtbESPQYvCMBSE78L+h/AEb5q6LCpdoxRB&#10;cD1ZK3h9NG/bYvNSmmjqvzfCwh6HmfmGWW8H04oH9a6xrGA+S0AQl1Y3XCm4FPvpCoTzyBpby6Tg&#10;SQ62m4/RGlNtA+f0OPtKRAi7FBXU3neplK6syaCb2Y44er+2N+ij7CupewwRblr5mSQLabDhuFBj&#10;R7uaytv5bhRcs3Cd/xRZ8Ptlfgq702COy1ypyXjIvkF4Gvx/+K990Aq+4H0l3gC5e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Vg9sEwQAAANoAAAAPAAAAAAAAAAAAAAAA&#10;AKECAABkcnMvZG93bnJldi54bWxQSwUGAAAAAAQABAD5AAAAjwMAAAAA&#10;" strokecolor="#036"/>
                <v:rect id="Rectangle 3" o:spid="_x0000_s1028" style="position:absolute;left:9619;top:3060;width:900;height: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vKoWxgAA&#10;ANsAAAAPAAAAZHJzL2Rvd25yZXYueG1sRI9Ba8JAEIXvgv9hmYIXqZv2IJq6ilgCpWDR2Ba8Ddlp&#10;EpqdDdnVpP++cxC8zfDevPfNajO4Rl2pC7VnA0+zBBRx4W3NpYHPU/a4ABUissXGMxn4owCb9Xi0&#10;wtT6no90zWOpJIRDigaqGNtU61BU5DDMfEss2o/vHEZZu1LbDnsJd41+TpK5dlizNFTY0q6i4je/&#10;OAOn7P3cfyzn+3M9/Xo9lNn+O99aYyYPw/YFVKQh3s236zcr+EIvv8gAev0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vKoWxgAAANsAAAAPAAAAAAAAAAAAAAAAAJcCAABkcnMv&#10;ZG93bnJldi54bWxQSwUGAAAAAAQABAD1AAAAigMAAAAA&#10;" fillcolor="#036" stroked="f"/>
                <w10:wrap type="tight"/>
              </v:group>
            </w:pict>
          </mc:Fallback>
        </mc:AlternateContent>
      </w:r>
      <w:r w:rsidR="00B61118">
        <w:t>El derecho a la consulta previa a</w:t>
      </w:r>
      <w:r w:rsidR="00E66328">
        <w:t xml:space="preserve"> pueblos </w:t>
      </w:r>
      <w:r w:rsidR="00B61118">
        <w:t xml:space="preserve">indígenas, </w:t>
      </w:r>
      <w:r w:rsidR="00E66328">
        <w:t>originarios</w:t>
      </w:r>
      <w:r>
        <w:br/>
      </w:r>
      <w:r w:rsidR="00B61118">
        <w:t xml:space="preserve"> y campesinos es vulnerado.</w:t>
      </w:r>
      <w:r w:rsidR="00432FC2" w:rsidRPr="00432FC2">
        <w:rPr>
          <w:sz w:val="10"/>
          <w:szCs w:val="10"/>
        </w:rPr>
        <w:t xml:space="preserve"> </w:t>
      </w:r>
    </w:p>
    <w:p w14:paraId="79DB614D" w14:textId="77777777" w:rsidR="00C459F3" w:rsidRDefault="00AF6555" w:rsidP="00AF6555">
      <w:pPr>
        <w:jc w:val="both"/>
      </w:pPr>
      <w:r>
        <w:t xml:space="preserve">Bolivia se ha caracterizado por ser un país productor de materias primas, incluso antes de su fundación como república en 1825, </w:t>
      </w:r>
      <w:r w:rsidR="00166080">
        <w:t>principa</w:t>
      </w:r>
      <w:r>
        <w:t>lmente de minerales y posteriormente de hidrocarburos. En el caso del sector minero, éste se caracteriza por ser un importante generador de empleo</w:t>
      </w:r>
      <w:r w:rsidR="00E14CA1">
        <w:t>,</w:t>
      </w:r>
      <w:r>
        <w:t xml:space="preserve"> especialmente </w:t>
      </w:r>
      <w:r w:rsidR="00AA7BEB">
        <w:t>a través</w:t>
      </w:r>
      <w:r w:rsidR="00705458">
        <w:t xml:space="preserve"> de las cooperativas-</w:t>
      </w:r>
      <w:r w:rsidR="00714205">
        <w:t>,</w:t>
      </w:r>
      <w:r>
        <w:t xml:space="preserve"> pero con un bajo aporte fiscal al erario nacional. </w:t>
      </w:r>
    </w:p>
    <w:p w14:paraId="7030D123" w14:textId="77777777" w:rsidR="00A123F7" w:rsidRDefault="00C459F3" w:rsidP="00AF6555">
      <w:pPr>
        <w:jc w:val="both"/>
      </w:pPr>
      <w:r>
        <w:t>En contraposición está</w:t>
      </w:r>
      <w:r w:rsidR="00AF6555">
        <w:t xml:space="preserve"> el sector hidrocarburos</w:t>
      </w:r>
      <w:r>
        <w:t>,</w:t>
      </w:r>
      <w:r w:rsidR="00AF6555">
        <w:t xml:space="preserve"> </w:t>
      </w:r>
      <w:r>
        <w:t xml:space="preserve">que </w:t>
      </w:r>
      <w:r w:rsidR="00AF6555">
        <w:t>es intensivo en capital</w:t>
      </w:r>
      <w:r w:rsidR="00E14CA1">
        <w:t>. S</w:t>
      </w:r>
      <w:r w:rsidR="00AF6555">
        <w:t>u aporte a los ingresos fiscales al</w:t>
      </w:r>
      <w:r w:rsidR="00E14CA1">
        <w:t xml:space="preserve"> país se ha</w:t>
      </w:r>
      <w:r w:rsidR="00AF6555">
        <w:t xml:space="preserve"> incrementado significativ</w:t>
      </w:r>
      <w:r w:rsidR="00E14CA1">
        <w:t xml:space="preserve">amente a partir de mayo de </w:t>
      </w:r>
      <w:r w:rsidR="00AF6555">
        <w:t>2005</w:t>
      </w:r>
      <w:r w:rsidR="00E14CA1">
        <w:t>,</w:t>
      </w:r>
      <w:r w:rsidR="00AF6555">
        <w:t xml:space="preserve"> con la aprobación de Ley de Hidrocarburos Nº 3058</w:t>
      </w:r>
      <w:r>
        <w:t>,</w:t>
      </w:r>
      <w:r w:rsidR="00AF6555">
        <w:t xml:space="preserve"> que creó el Impuesto Directo a los Hidrocarburos </w:t>
      </w:r>
      <w:r w:rsidR="00B91549">
        <w:t>(IDH)</w:t>
      </w:r>
      <w:r w:rsidR="00E14CA1">
        <w:t>,</w:t>
      </w:r>
      <w:r w:rsidR="00B91549">
        <w:t xml:space="preserve"> </w:t>
      </w:r>
      <w:r w:rsidR="00E14CA1">
        <w:t>con una alícuota de</w:t>
      </w:r>
      <w:r w:rsidR="00AF6555">
        <w:t xml:space="preserve"> 32% sobre la </w:t>
      </w:r>
      <w:r w:rsidR="00E14CA1">
        <w:t>producción nacional fiscalizada</w:t>
      </w:r>
      <w:r w:rsidR="00AF6555">
        <w:t xml:space="preserve"> que, sumada a las ya existentes</w:t>
      </w:r>
      <w:r w:rsidR="00E14CA1">
        <w:t xml:space="preserve"> </w:t>
      </w:r>
      <w:r w:rsidR="00E14CA1">
        <w:t>–</w:t>
      </w:r>
      <w:r w:rsidR="00AF6555">
        <w:t>regalía departamental (11%)</w:t>
      </w:r>
      <w:r>
        <w:t>, regalía nacional compensatoria (1%) y Participación del Tesoro General de la Nación (6%)</w:t>
      </w:r>
      <w:r w:rsidR="00E14CA1">
        <w:t>-</w:t>
      </w:r>
      <w:r>
        <w:t xml:space="preserve"> permite al Estado quedarse con al menos 50% de los ingresos obtenidos por la explotación de los hidrocarburos</w:t>
      </w:r>
      <w:r w:rsidR="00A123F7">
        <w:t>.</w:t>
      </w:r>
    </w:p>
    <w:p w14:paraId="1BD429D2" w14:textId="77777777" w:rsidR="003F0CA1" w:rsidRPr="00E66328" w:rsidRDefault="008F2206" w:rsidP="00AF6555">
      <w:pPr>
        <w:jc w:val="both"/>
      </w:pPr>
      <w:r w:rsidRPr="00E66328">
        <w:t>En esas condiciones</w:t>
      </w:r>
      <w:r w:rsidR="00A123F7" w:rsidRPr="00E66328">
        <w:t>, el sector hidrocarburos</w:t>
      </w:r>
      <w:r w:rsidR="00E04E2A" w:rsidRPr="00E66328">
        <w:t xml:space="preserve"> aport</w:t>
      </w:r>
      <w:r w:rsidR="00BA785E" w:rsidRPr="00E66328">
        <w:t>ó</w:t>
      </w:r>
      <w:r w:rsidR="00E04E2A" w:rsidRPr="00E66328">
        <w:t xml:space="preserve">, en </w:t>
      </w:r>
      <w:r w:rsidR="0002405B" w:rsidRPr="00E66328">
        <w:t>promedio</w:t>
      </w:r>
      <w:r w:rsidR="00E04E2A" w:rsidRPr="00E66328">
        <w:t xml:space="preserve">, con </w:t>
      </w:r>
      <w:r w:rsidR="002871CD" w:rsidRPr="00E66328">
        <w:t xml:space="preserve">35% </w:t>
      </w:r>
      <w:r w:rsidR="00E04E2A" w:rsidRPr="00E66328">
        <w:t>de</w:t>
      </w:r>
      <w:r w:rsidR="002871CD" w:rsidRPr="00E66328">
        <w:t xml:space="preserve"> los ingresos fiscales que ha percibido el Gobierno General (nivel central y niveles subnac</w:t>
      </w:r>
      <w:r w:rsidR="0095224C" w:rsidRPr="00E66328">
        <w:t>ionales) para el periodo 2005–</w:t>
      </w:r>
      <w:r w:rsidR="002871CD" w:rsidRPr="00E66328">
        <w:t>2017.</w:t>
      </w:r>
    </w:p>
    <w:p w14:paraId="35552BBD" w14:textId="77777777" w:rsidR="00EF5C97" w:rsidRPr="00E66328" w:rsidRDefault="009C21D8" w:rsidP="00AF6555">
      <w:pPr>
        <w:jc w:val="both"/>
      </w:pPr>
      <w:r w:rsidRPr="00E66328">
        <w:t>Bolivia</w:t>
      </w:r>
      <w:r w:rsidR="00EF5C97" w:rsidRPr="00E66328">
        <w:t>,</w:t>
      </w:r>
      <w:r w:rsidRPr="00E66328">
        <w:t xml:space="preserve"> en un primer periodo</w:t>
      </w:r>
      <w:r w:rsidR="00EF5C97" w:rsidRPr="00E66328">
        <w:t>,</w:t>
      </w:r>
      <w:r w:rsidRPr="00E66328">
        <w:t xml:space="preserve"> </w:t>
      </w:r>
      <w:r w:rsidR="00EF5C97" w:rsidRPr="00E66328">
        <w:t>explotó</w:t>
      </w:r>
      <w:r w:rsidR="002871CD" w:rsidRPr="00E66328">
        <w:t xml:space="preserve"> </w:t>
      </w:r>
      <w:r w:rsidRPr="00E66328">
        <w:t xml:space="preserve">petróleo crudo y posteriormente </w:t>
      </w:r>
      <w:r w:rsidR="004F4002" w:rsidRPr="00E66328">
        <w:t>gas natural</w:t>
      </w:r>
      <w:r w:rsidR="00EF5C97" w:rsidRPr="00E66328">
        <w:t>. En</w:t>
      </w:r>
      <w:r w:rsidR="004F4002" w:rsidRPr="00E66328">
        <w:t xml:space="preserve"> los últimos 18 años</w:t>
      </w:r>
      <w:r w:rsidR="00EF5C97" w:rsidRPr="00E66328">
        <w:t>, cerca de</w:t>
      </w:r>
      <w:r w:rsidR="004F4002" w:rsidRPr="00E66328">
        <w:t xml:space="preserve"> 83% de los hidrocarburos explotados en el país</w:t>
      </w:r>
      <w:r w:rsidR="002871CD" w:rsidRPr="00E66328">
        <w:t xml:space="preserve"> correspond</w:t>
      </w:r>
      <w:r w:rsidR="00EF5C97" w:rsidRPr="00E66328">
        <w:t>iero</w:t>
      </w:r>
      <w:r w:rsidR="002871CD" w:rsidRPr="00E66328">
        <w:t>n a gas natural</w:t>
      </w:r>
      <w:r w:rsidR="00EF5C97" w:rsidRPr="00E66328">
        <w:t xml:space="preserve">, </w:t>
      </w:r>
      <w:r w:rsidR="002871CD" w:rsidRPr="00E66328">
        <w:t>cuyo principal destino</w:t>
      </w:r>
      <w:r w:rsidR="00EF5C97" w:rsidRPr="00E66328">
        <w:t>,</w:t>
      </w:r>
      <w:r w:rsidR="002871CD" w:rsidRPr="00E66328">
        <w:t xml:space="preserve"> a partir de </w:t>
      </w:r>
      <w:r w:rsidR="004F4002" w:rsidRPr="00E66328">
        <w:t>julio de 1999</w:t>
      </w:r>
      <w:r w:rsidR="00EF5C97" w:rsidRPr="00E66328">
        <w:t>,</w:t>
      </w:r>
      <w:r w:rsidR="004F4002" w:rsidRPr="00E66328">
        <w:t xml:space="preserve"> </w:t>
      </w:r>
      <w:r w:rsidR="002871CD" w:rsidRPr="00E66328">
        <w:t>fue el mercado brasile</w:t>
      </w:r>
      <w:r w:rsidR="00EF5C97" w:rsidRPr="00E66328">
        <w:t>r</w:t>
      </w:r>
      <w:r w:rsidR="002871CD" w:rsidRPr="00E66328">
        <w:t>o</w:t>
      </w:r>
      <w:r w:rsidR="00EF5C97" w:rsidRPr="00E66328">
        <w:t>,</w:t>
      </w:r>
      <w:r w:rsidR="002871CD" w:rsidRPr="00E66328">
        <w:t xml:space="preserve"> en el marco del contrato de </w:t>
      </w:r>
      <w:r w:rsidR="004F4002" w:rsidRPr="00E66328">
        <w:t>exportación</w:t>
      </w:r>
      <w:r w:rsidR="002871CD" w:rsidRPr="00E66328">
        <w:t xml:space="preserve"> suscrito entre Bolivia y Brasil, </w:t>
      </w:r>
      <w:r w:rsidR="00EF5C97" w:rsidRPr="00E66328">
        <w:t>el cual</w:t>
      </w:r>
      <w:r w:rsidR="002871CD" w:rsidRPr="00E66328">
        <w:t xml:space="preserve"> concluye en julio del presente año</w:t>
      </w:r>
      <w:r w:rsidR="004F4002" w:rsidRPr="00E66328">
        <w:t xml:space="preserve">. </w:t>
      </w:r>
      <w:r w:rsidR="00EF5C97" w:rsidRPr="00E66328">
        <w:t>Este</w:t>
      </w:r>
      <w:r w:rsidR="004F4002" w:rsidRPr="00E66328">
        <w:t xml:space="preserve"> contrato ha sido un hito </w:t>
      </w:r>
      <w:r w:rsidR="00EF5C97" w:rsidRPr="00E66328">
        <w:t>al constituirse</w:t>
      </w:r>
      <w:r w:rsidR="004F4002" w:rsidRPr="00E66328">
        <w:t xml:space="preserve"> en la base que permitió el enorme flujo de ingresos fiscales que recibió el país desde el año 2005. </w:t>
      </w:r>
    </w:p>
    <w:p w14:paraId="1F7BD252" w14:textId="77777777" w:rsidR="001A73A4" w:rsidRPr="00E66328" w:rsidRDefault="004F4002" w:rsidP="00AF6555">
      <w:pPr>
        <w:jc w:val="both"/>
      </w:pPr>
      <w:r w:rsidRPr="00E66328">
        <w:t>Posteriormente</w:t>
      </w:r>
      <w:r w:rsidR="00EF5C97" w:rsidRPr="00E66328">
        <w:t>,</w:t>
      </w:r>
      <w:r w:rsidRPr="00E66328">
        <w:t xml:space="preserve"> y luego de varios contrat</w:t>
      </w:r>
      <w:r w:rsidR="00EF5C97" w:rsidRPr="00E66328">
        <w:t xml:space="preserve">os de corto y mediano plazo, </w:t>
      </w:r>
      <w:r w:rsidRPr="00E66328">
        <w:t>el año 2006</w:t>
      </w:r>
      <w:r w:rsidR="00EF5C97" w:rsidRPr="00E66328">
        <w:t>,</w:t>
      </w:r>
      <w:r w:rsidRPr="00E66328">
        <w:t xml:space="preserve"> el país firmó un nuevo contrato de exportación a largo plazo con la República de la Argentina, que replica muchos de los aspectos ya contenidos en el contrato suscrito con Brasil.</w:t>
      </w:r>
    </w:p>
    <w:p w14:paraId="6C405367" w14:textId="77777777" w:rsidR="00C064D0" w:rsidRPr="00E66328" w:rsidRDefault="00C064D0" w:rsidP="00C064D0">
      <w:pPr>
        <w:spacing w:after="120"/>
        <w:jc w:val="both"/>
      </w:pPr>
      <w:r w:rsidRPr="00E66328">
        <w:t xml:space="preserve">Otro hito importante en el sector fue la tercera nacionalización </w:t>
      </w:r>
      <w:r w:rsidR="00B340BC" w:rsidRPr="00E66328">
        <w:t xml:space="preserve">de los hidrocarburos </w:t>
      </w:r>
      <w:r w:rsidR="00EF5C97" w:rsidRPr="00E66328">
        <w:t>que se dio en mayo de</w:t>
      </w:r>
      <w:r w:rsidRPr="00E66328">
        <w:t xml:space="preserve"> 2006 y </w:t>
      </w:r>
      <w:r w:rsidR="00B340BC" w:rsidRPr="00E66328">
        <w:t>que</w:t>
      </w:r>
      <w:r w:rsidR="00EF5C97" w:rsidRPr="00E66328">
        <w:t>,</w:t>
      </w:r>
      <w:r w:rsidR="00B340BC" w:rsidRPr="00E66328">
        <w:t xml:space="preserve"> </w:t>
      </w:r>
      <w:r w:rsidRPr="00E66328">
        <w:t>a diferencia de las otras nacionalizaciones</w:t>
      </w:r>
      <w:r w:rsidR="00B340BC" w:rsidRPr="00E66328">
        <w:t>,</w:t>
      </w:r>
      <w:r w:rsidRPr="00E66328">
        <w:t xml:space="preserve"> </w:t>
      </w:r>
      <w:r w:rsidR="00B340BC" w:rsidRPr="00E66328">
        <w:t xml:space="preserve">el objetivo se </w:t>
      </w:r>
      <w:r w:rsidR="00EF5C97" w:rsidRPr="00E66328">
        <w:t>centró</w:t>
      </w:r>
      <w:r w:rsidRPr="00E66328">
        <w:t xml:space="preserve"> en transferir los recursos de la renta petrolera para impulsar otros sectores de la economía de mayor sostenibilidad</w:t>
      </w:r>
      <w:r w:rsidR="008F2206" w:rsidRPr="00E66328">
        <w:t>,</w:t>
      </w:r>
      <w:r w:rsidR="00B340BC" w:rsidRPr="00E66328">
        <w:t xml:space="preserve"> en aras de aminorar la dependencia de la economía sobre </w:t>
      </w:r>
      <w:r w:rsidR="008F2206" w:rsidRPr="00E66328">
        <w:t>este</w:t>
      </w:r>
      <w:r w:rsidR="00B340BC" w:rsidRPr="00E66328">
        <w:t xml:space="preserve"> sector extractivo</w:t>
      </w:r>
      <w:r w:rsidR="00242243" w:rsidRPr="00E66328">
        <w:t>, estas premisas fueron establecidas en el Plan Nacional de Desarrollo 2006</w:t>
      </w:r>
      <w:r w:rsidRPr="00E66328">
        <w:t xml:space="preserve">. </w:t>
      </w:r>
    </w:p>
    <w:p w14:paraId="7ACC786C" w14:textId="66685BDC" w:rsidR="004F4002" w:rsidRPr="00E66328" w:rsidRDefault="00B340BC" w:rsidP="00AF6555">
      <w:pPr>
        <w:jc w:val="both"/>
      </w:pPr>
      <w:r w:rsidRPr="00E66328">
        <w:t>Otro fenómeno importante de destacar en Bolivia</w:t>
      </w:r>
      <w:r w:rsidR="00C268BE">
        <w:t>,</w:t>
      </w:r>
      <w:bookmarkStart w:id="0" w:name="_GoBack"/>
      <w:bookmarkEnd w:id="0"/>
      <w:r w:rsidRPr="00E66328">
        <w:t xml:space="preserve"> durante estos últimos años, es </w:t>
      </w:r>
      <w:r w:rsidR="00C268BE">
        <w:t>el inesperado incremento en sus</w:t>
      </w:r>
      <w:r w:rsidRPr="00E66328">
        <w:t xml:space="preserve"> ingresos por </w:t>
      </w:r>
      <w:r w:rsidR="001A73A4" w:rsidRPr="00E66328">
        <w:t xml:space="preserve">la venta de gas </w:t>
      </w:r>
      <w:r w:rsidRPr="00E66328">
        <w:t xml:space="preserve">en </w:t>
      </w:r>
      <w:r w:rsidR="00BB129D" w:rsidRPr="00E66328">
        <w:t>casi seis veces</w:t>
      </w:r>
      <w:r w:rsidR="00AD7427" w:rsidRPr="00E66328">
        <w:t>,</w:t>
      </w:r>
      <w:r w:rsidR="00BB129D" w:rsidRPr="00E66328">
        <w:t xml:space="preserve"> alcanzando </w:t>
      </w:r>
      <w:r w:rsidRPr="00E66328">
        <w:t xml:space="preserve">la </w:t>
      </w:r>
      <w:r w:rsidRPr="00E66328">
        <w:lastRenderedPageBreak/>
        <w:t xml:space="preserve">renta petrolera </w:t>
      </w:r>
      <w:r w:rsidR="008F2206" w:rsidRPr="00E66328">
        <w:t>a</w:t>
      </w:r>
      <w:r w:rsidR="00BB129D" w:rsidRPr="00E66328">
        <w:t xml:space="preserve"> 5.700 millones de dólares</w:t>
      </w:r>
      <w:r w:rsidR="008F2206" w:rsidRPr="00E66328">
        <w:t xml:space="preserve"> </w:t>
      </w:r>
      <w:r w:rsidR="008F2206" w:rsidRPr="00E66328">
        <w:t>el año 2014</w:t>
      </w:r>
      <w:r w:rsidR="00AD7427" w:rsidRPr="00E66328">
        <w:t>;</w:t>
      </w:r>
      <w:r w:rsidR="00BB129D" w:rsidRPr="00E66328">
        <w:t xml:space="preserve"> est</w:t>
      </w:r>
      <w:r w:rsidRPr="00E66328">
        <w:t xml:space="preserve">a situación </w:t>
      </w:r>
      <w:r w:rsidR="008F2206" w:rsidRPr="00E66328">
        <w:t xml:space="preserve">es </w:t>
      </w:r>
      <w:r w:rsidR="006277A7" w:rsidRPr="00E66328">
        <w:t>explicada por</w:t>
      </w:r>
      <w:r w:rsidRPr="00E66328">
        <w:t xml:space="preserve"> </w:t>
      </w:r>
      <w:r w:rsidR="00AD7427" w:rsidRPr="00E66328">
        <w:t>d</w:t>
      </w:r>
      <w:r w:rsidR="001A73A4" w:rsidRPr="00E66328">
        <w:t xml:space="preserve">os </w:t>
      </w:r>
      <w:r w:rsidR="004F4002" w:rsidRPr="00E66328">
        <w:t xml:space="preserve">factores: a) </w:t>
      </w:r>
      <w:r w:rsidR="008F2206" w:rsidRPr="00E66328">
        <w:t xml:space="preserve">el </w:t>
      </w:r>
      <w:r w:rsidR="00D4404D" w:rsidRPr="00E66328">
        <w:t>inédito aumento de los precios internacionales del pet</w:t>
      </w:r>
      <w:r w:rsidR="008F2206" w:rsidRPr="00E66328">
        <w:t>róleo durante el periodo 2005–</w:t>
      </w:r>
      <w:r w:rsidR="00D4404D" w:rsidRPr="00E66328">
        <w:t>2014</w:t>
      </w:r>
      <w:r w:rsidR="008F2206" w:rsidRPr="00E66328">
        <w:t>,</w:t>
      </w:r>
      <w:r w:rsidR="00D4404D" w:rsidRPr="00E66328">
        <w:t xml:space="preserve"> </w:t>
      </w:r>
      <w:r w:rsidR="00C064D0" w:rsidRPr="00E66328">
        <w:t xml:space="preserve">precio que incide en el cálculo del </w:t>
      </w:r>
      <w:r w:rsidR="00D4404D" w:rsidRPr="00E66328">
        <w:t>precio de exportación del gas natural</w:t>
      </w:r>
      <w:r w:rsidR="001A73A4" w:rsidRPr="00E66328">
        <w:t xml:space="preserve"> boliviano</w:t>
      </w:r>
      <w:r w:rsidR="008F2206" w:rsidRPr="00E66328">
        <w:t>,</w:t>
      </w:r>
      <w:r w:rsidR="00C064D0" w:rsidRPr="00E66328">
        <w:t xml:space="preserve"> y </w:t>
      </w:r>
      <w:r w:rsidR="008F2206" w:rsidRPr="00E66328">
        <w:t xml:space="preserve">b) el incremento de </w:t>
      </w:r>
      <w:r w:rsidR="0000798C" w:rsidRPr="00E66328">
        <w:t>50% en la producción de hidrocarburos en el p</w:t>
      </w:r>
      <w:r w:rsidR="008F2206" w:rsidRPr="00E66328">
        <w:t>eriodo 2010–</w:t>
      </w:r>
      <w:r w:rsidR="0000798C" w:rsidRPr="00E66328">
        <w:t>2015, ello producto de una explotación más rápida de las reserva</w:t>
      </w:r>
      <w:r w:rsidR="00613004" w:rsidRPr="00E66328">
        <w:t>s</w:t>
      </w:r>
      <w:r w:rsidR="0000798C" w:rsidRPr="00E66328">
        <w:t xml:space="preserve"> que ya fueron descubiertas años atrás y aprovechando la coyuntura de precios altos</w:t>
      </w:r>
      <w:r w:rsidR="00C064D0" w:rsidRPr="00E66328">
        <w:t xml:space="preserve">. </w:t>
      </w:r>
      <w:r w:rsidR="0000798C" w:rsidRPr="00E66328">
        <w:t xml:space="preserve"> </w:t>
      </w:r>
    </w:p>
    <w:p w14:paraId="1134B78E" w14:textId="77777777" w:rsidR="008F2206" w:rsidRPr="00E66328" w:rsidRDefault="00462159" w:rsidP="006277A7">
      <w:pPr>
        <w:jc w:val="both"/>
      </w:pPr>
      <w:r w:rsidRPr="00E66328">
        <w:t>Es decir</w:t>
      </w:r>
      <w:r w:rsidR="006277A7" w:rsidRPr="00E66328">
        <w:t>,</w:t>
      </w:r>
      <w:r w:rsidRPr="00E66328">
        <w:t xml:space="preserve"> que</w:t>
      </w:r>
      <w:r w:rsidR="00613004" w:rsidRPr="00E66328">
        <w:t xml:space="preserve"> </w:t>
      </w:r>
      <w:r w:rsidR="00B91549" w:rsidRPr="00E66328">
        <w:t>tanto los factores internos (</w:t>
      </w:r>
      <w:r w:rsidR="008F2206" w:rsidRPr="00E66328">
        <w:t>e</w:t>
      </w:r>
      <w:r w:rsidR="00B91549" w:rsidRPr="00E66328">
        <w:t xml:space="preserve">xploración anterior + contrato de exportación </w:t>
      </w:r>
      <w:r w:rsidR="008F2206" w:rsidRPr="00E66328">
        <w:t>a</w:t>
      </w:r>
      <w:r w:rsidR="00B91549" w:rsidRPr="00E66328">
        <w:t xml:space="preserve"> Brasil + creación del ID</w:t>
      </w:r>
      <w:r w:rsidR="008F2206" w:rsidRPr="00E66328">
        <w:t>H + contrato de exportación a</w:t>
      </w:r>
      <w:r w:rsidR="00B91549" w:rsidRPr="00E66328">
        <w:t xml:space="preserve"> Argentina)</w:t>
      </w:r>
      <w:r w:rsidR="008F2206" w:rsidRPr="00E66328">
        <w:t>,</w:t>
      </w:r>
      <w:r w:rsidR="00B91549" w:rsidRPr="00E66328">
        <w:t xml:space="preserve"> como </w:t>
      </w:r>
      <w:r w:rsidRPr="00E66328">
        <w:t>los</w:t>
      </w:r>
      <w:r w:rsidR="00B91549" w:rsidRPr="00E66328">
        <w:t xml:space="preserve"> externos (</w:t>
      </w:r>
      <w:r w:rsidR="008F2206" w:rsidRPr="00E66328">
        <w:t>i</w:t>
      </w:r>
      <w:r w:rsidR="00B91549" w:rsidRPr="00E66328">
        <w:t>ncremento en el precio internacional del barril de petróleo, incremento en la dinámica económica regional)</w:t>
      </w:r>
      <w:r w:rsidR="008F2206" w:rsidRPr="00E66328">
        <w:t>,</w:t>
      </w:r>
      <w:r w:rsidR="00B91549" w:rsidRPr="00E66328">
        <w:t xml:space="preserve"> permitieron </w:t>
      </w:r>
      <w:r w:rsidRPr="00E66328">
        <w:t xml:space="preserve">al país </w:t>
      </w:r>
      <w:r w:rsidR="00B91549" w:rsidRPr="00E66328">
        <w:t>contar con las bases para un extraordinario periodo de ingresos fiscales</w:t>
      </w:r>
      <w:r w:rsidR="006277A7" w:rsidRPr="00E66328">
        <w:t xml:space="preserve">. </w:t>
      </w:r>
    </w:p>
    <w:p w14:paraId="2E7280DA" w14:textId="77777777" w:rsidR="006277A7" w:rsidRPr="00E66328" w:rsidRDefault="006277A7" w:rsidP="006277A7">
      <w:pPr>
        <w:jc w:val="both"/>
      </w:pPr>
      <w:r w:rsidRPr="00E66328">
        <w:t>Lamentablemente</w:t>
      </w:r>
      <w:r w:rsidR="008F2206" w:rsidRPr="00E66328">
        <w:t>,</w:t>
      </w:r>
      <w:r w:rsidRPr="00E66328">
        <w:t xml:space="preserve"> a partir del año 2015, con la caída en los precios internacionales del barril de petróleo y </w:t>
      </w:r>
      <w:r w:rsidR="008F2206" w:rsidRPr="00E66328">
        <w:t>por</w:t>
      </w:r>
      <w:r w:rsidRPr="00E66328">
        <w:t xml:space="preserve"> no haber implementado una  política adecuada de exploración que permita reponer las reservas consumidas y palear la declina</w:t>
      </w:r>
      <w:r w:rsidR="008F2206" w:rsidRPr="00E66328">
        <w:t>ción de campos que fueron sobre</w:t>
      </w:r>
      <w:r w:rsidRPr="00E66328">
        <w:t>explotados, los ingresos fiscales se contra</w:t>
      </w:r>
      <w:r w:rsidR="008F2206" w:rsidRPr="00E66328">
        <w:t xml:space="preserve">jeron </w:t>
      </w:r>
      <w:r w:rsidRPr="00E66328">
        <w:t>a menos de la mitad el año 2016</w:t>
      </w:r>
      <w:r w:rsidR="008F2206" w:rsidRPr="00E66328">
        <w:t>,</w:t>
      </w:r>
      <w:r w:rsidRPr="00E66328">
        <w:t xml:space="preserve"> con una muy leve recuperación los años 2017 y 2018.</w:t>
      </w:r>
    </w:p>
    <w:p w14:paraId="79C602DC" w14:textId="77777777" w:rsidR="00462159" w:rsidRPr="00E66328" w:rsidRDefault="00242243" w:rsidP="00AF6555">
      <w:pPr>
        <w:jc w:val="both"/>
      </w:pPr>
      <w:r w:rsidRPr="00E66328">
        <w:t xml:space="preserve">En cuanto al análisis sobre el uso de los recursos, transcurridos </w:t>
      </w:r>
      <w:r w:rsidR="00462159" w:rsidRPr="00E66328">
        <w:t>13 años de</w:t>
      </w:r>
      <w:r w:rsidRPr="00E66328">
        <w:t>l</w:t>
      </w:r>
      <w:r w:rsidR="00462159" w:rsidRPr="00E66328">
        <w:t xml:space="preserve"> </w:t>
      </w:r>
      <w:r w:rsidRPr="00E66328">
        <w:t>Plan Nacional de Desarrollo 2006</w:t>
      </w:r>
      <w:r w:rsidR="00270CDB" w:rsidRPr="00E66328">
        <w:t xml:space="preserve">, </w:t>
      </w:r>
      <w:r w:rsidRPr="00E66328">
        <w:t xml:space="preserve">se evidencia que </w:t>
      </w:r>
      <w:r w:rsidR="00270CDB" w:rsidRPr="00E66328">
        <w:t>no se ha avanzado en la diversificación económica</w:t>
      </w:r>
      <w:r w:rsidR="008F2206" w:rsidRPr="00E66328">
        <w:t>,</w:t>
      </w:r>
      <w:r w:rsidRPr="00E66328">
        <w:t xml:space="preserve"> y ante </w:t>
      </w:r>
      <w:r w:rsidR="00270CDB" w:rsidRPr="00E66328">
        <w:t>el descenso de los ingresos fiscales</w:t>
      </w:r>
      <w:r w:rsidRPr="00E66328">
        <w:t xml:space="preserve"> </w:t>
      </w:r>
      <w:r w:rsidR="008F2206" w:rsidRPr="00E66328">
        <w:t>la respuesta del G</w:t>
      </w:r>
      <w:r w:rsidR="00270CDB" w:rsidRPr="00E66328">
        <w:t>obierno ha sido</w:t>
      </w:r>
      <w:r w:rsidR="00605B2A" w:rsidRPr="00E66328">
        <w:t xml:space="preserve"> </w:t>
      </w:r>
      <w:r w:rsidR="00270CDB" w:rsidRPr="00E66328">
        <w:t>ampliar las áreas de exploración y pr</w:t>
      </w:r>
      <w:r w:rsidR="008F2206" w:rsidRPr="00E66328">
        <w:t>ofundizar la apuesta extractiva;</w:t>
      </w:r>
      <w:r w:rsidR="00270CDB" w:rsidRPr="00E66328">
        <w:t xml:space="preserve"> </w:t>
      </w:r>
      <w:r w:rsidR="003F0C70" w:rsidRPr="00E66328">
        <w:t>para ello</w:t>
      </w:r>
      <w:r w:rsidR="008F2206" w:rsidRPr="00E66328">
        <w:t>,</w:t>
      </w:r>
      <w:r w:rsidR="003F0C70" w:rsidRPr="00E66328">
        <w:t xml:space="preserve"> el </w:t>
      </w:r>
      <w:r w:rsidR="008F2206" w:rsidRPr="00E66328">
        <w:t>Gobierno</w:t>
      </w:r>
      <w:r w:rsidR="003F0C70" w:rsidRPr="00E66328">
        <w:t xml:space="preserve"> aprobó</w:t>
      </w:r>
      <w:r w:rsidR="00270CDB" w:rsidRPr="00E66328">
        <w:t xml:space="preserve"> la exploración en Parques Naturales (D.</w:t>
      </w:r>
      <w:r w:rsidR="00796794" w:rsidRPr="00E66328">
        <w:t xml:space="preserve"> </w:t>
      </w:r>
      <w:r w:rsidR="00270CDB" w:rsidRPr="00E66328">
        <w:t>S. 2366 de mayo de 2015), cre</w:t>
      </w:r>
      <w:r w:rsidR="003F0C70" w:rsidRPr="00E66328">
        <w:t>ó</w:t>
      </w:r>
      <w:r w:rsidR="00270CDB" w:rsidRPr="00E66328">
        <w:t xml:space="preserve"> un Fondo de Incentivo a la Exploración y Explotación Petrolera</w:t>
      </w:r>
      <w:r w:rsidR="003F0C70" w:rsidRPr="00E66328">
        <w:t>s</w:t>
      </w:r>
      <w:r w:rsidR="00605B2A" w:rsidRPr="00E66328">
        <w:t xml:space="preserve"> que confisca el 12% del IDH</w:t>
      </w:r>
      <w:r w:rsidR="00270CDB" w:rsidRPr="00E66328">
        <w:t xml:space="preserve"> </w:t>
      </w:r>
      <w:r w:rsidR="003F0C70" w:rsidRPr="00E66328">
        <w:t>y flexibiliz</w:t>
      </w:r>
      <w:r w:rsidR="00605B2A" w:rsidRPr="00E66328">
        <w:t>a</w:t>
      </w:r>
      <w:r w:rsidR="003F0C70" w:rsidRPr="00E66328">
        <w:t xml:space="preserve"> la normativa ambiental a fin de promover la actividad exploratoria, </w:t>
      </w:r>
      <w:r w:rsidR="008F2206" w:rsidRPr="00E66328">
        <w:t xml:space="preserve">la </w:t>
      </w:r>
      <w:r w:rsidR="00605B2A" w:rsidRPr="00E66328">
        <w:t xml:space="preserve">misma </w:t>
      </w:r>
      <w:r w:rsidR="003F0C70" w:rsidRPr="00E66328">
        <w:t>que</w:t>
      </w:r>
      <w:r w:rsidR="008F2206" w:rsidRPr="00E66328">
        <w:t>,</w:t>
      </w:r>
      <w:r w:rsidR="003F0C70" w:rsidRPr="00E66328">
        <w:t xml:space="preserve"> a la fecha</w:t>
      </w:r>
      <w:r w:rsidR="008F2206" w:rsidRPr="00E66328">
        <w:t>,</w:t>
      </w:r>
      <w:r w:rsidR="003F0C70" w:rsidRPr="00E66328">
        <w:t xml:space="preserve"> no ha registrado avances importantes.</w:t>
      </w:r>
    </w:p>
    <w:p w14:paraId="3C689FB1" w14:textId="77777777" w:rsidR="00605B2A" w:rsidRPr="00E66328" w:rsidRDefault="00605B2A" w:rsidP="00605B2A">
      <w:pPr>
        <w:widowControl w:val="0"/>
        <w:autoSpaceDE w:val="0"/>
        <w:autoSpaceDN w:val="0"/>
        <w:adjustRightInd w:val="0"/>
        <w:spacing w:before="120" w:after="120"/>
        <w:ind w:right="81"/>
        <w:jc w:val="both"/>
      </w:pPr>
      <w:r w:rsidRPr="00E66328">
        <w:t xml:space="preserve">En cuanto a la </w:t>
      </w:r>
      <w:r w:rsidR="008F2206" w:rsidRPr="00E66328">
        <w:t>consulta p</w:t>
      </w:r>
      <w:r w:rsidRPr="00E66328">
        <w:t>revia, libre e informada, Bolivia se adhi</w:t>
      </w:r>
      <w:r w:rsidR="00442020" w:rsidRPr="00E66328">
        <w:t>rió</w:t>
      </w:r>
      <w:r w:rsidRPr="00E66328">
        <w:t xml:space="preserve"> al cumplimiento de</w:t>
      </w:r>
      <w:r w:rsidR="00442020" w:rsidRPr="00E66328">
        <w:t xml:space="preserve">l Convenio 169 de la OIT, </w:t>
      </w:r>
      <w:r w:rsidRPr="00E66328">
        <w:t>norma internacional</w:t>
      </w:r>
      <w:r w:rsidR="00442020" w:rsidRPr="00E66328">
        <w:t xml:space="preserve"> que</w:t>
      </w:r>
      <w:r w:rsidRPr="00E66328">
        <w:t xml:space="preserve"> en sus artículos 4</w:t>
      </w:r>
      <w:r w:rsidR="00442020" w:rsidRPr="00E66328">
        <w:t>, 5, 6, 15 y 18</w:t>
      </w:r>
      <w:r w:rsidRPr="00E66328">
        <w:t xml:space="preserve"> establece que las comunidades y los pueblos campesinos, indígenas y originarios, independientemente de su tipo de organización, deben ser consultados de manera previa, obligatoria y oportuna cada vez que se prevean medidas legislativas o administrativas susceptibles de afectarles directamente, como lo sería un contrato petrolero para la exploración y explotación e hidrocarburos en un área donde residan estas comunidades.</w:t>
      </w:r>
    </w:p>
    <w:p w14:paraId="14C32730" w14:textId="77777777" w:rsidR="00BB7E5D" w:rsidRPr="00E66328" w:rsidRDefault="00BB7E5D" w:rsidP="00605B2A">
      <w:pPr>
        <w:widowControl w:val="0"/>
        <w:autoSpaceDE w:val="0"/>
        <w:autoSpaceDN w:val="0"/>
        <w:adjustRightInd w:val="0"/>
        <w:spacing w:before="120" w:after="120"/>
        <w:ind w:right="81"/>
        <w:jc w:val="both"/>
      </w:pPr>
      <w:r w:rsidRPr="00E66328">
        <w:t>Por otra parte</w:t>
      </w:r>
      <w:r w:rsidR="00851241" w:rsidRPr="00E66328">
        <w:t>,</w:t>
      </w:r>
      <w:r w:rsidRPr="00E66328">
        <w:t xml:space="preserve"> la Constitución Política del Estado, en su artículo 300</w:t>
      </w:r>
      <w:r w:rsidR="00851241" w:rsidRPr="00E66328">
        <w:t>,</w:t>
      </w:r>
      <w:r w:rsidRPr="00E66328">
        <w:t xml:space="preserve"> otorga competencias exclusivas a los gobiernos departamentales autónomos, en su jurisdicción</w:t>
      </w:r>
      <w:r w:rsidR="00D61A85" w:rsidRPr="00E66328">
        <w:t>,</w:t>
      </w:r>
      <w:r w:rsidRPr="00E66328">
        <w:t xml:space="preserve"> para la elaboración y ejecución de Planes de Ordenamiento Territorial y de uso de suelos, en coordinación con los planes del nivel central del Estado</w:t>
      </w:r>
      <w:r w:rsidR="00D61A85" w:rsidRPr="00E66328">
        <w:t>,</w:t>
      </w:r>
      <w:r w:rsidRPr="00E66328">
        <w:t xml:space="preserve"> municipales e indígena originario campesino</w:t>
      </w:r>
      <w:r w:rsidR="00D61A85" w:rsidRPr="00E66328">
        <w:t>.</w:t>
      </w:r>
    </w:p>
    <w:p w14:paraId="1DC326C5" w14:textId="77777777" w:rsidR="00605B2A" w:rsidRPr="00E66328" w:rsidRDefault="00605B2A" w:rsidP="00605B2A">
      <w:pPr>
        <w:widowControl w:val="0"/>
        <w:autoSpaceDE w:val="0"/>
        <w:autoSpaceDN w:val="0"/>
        <w:adjustRightInd w:val="0"/>
        <w:spacing w:before="120" w:after="120"/>
        <w:ind w:right="81"/>
        <w:jc w:val="both"/>
      </w:pPr>
      <w:r w:rsidRPr="00E66328">
        <w:t>Por tanto, en cumplimiento de dicho</w:t>
      </w:r>
      <w:r w:rsidR="00BB7E5D" w:rsidRPr="00E66328">
        <w:t>s</w:t>
      </w:r>
      <w:r w:rsidRPr="00E66328">
        <w:t xml:space="preserve"> precepto</w:t>
      </w:r>
      <w:r w:rsidR="00BB7E5D" w:rsidRPr="00E66328">
        <w:t>s</w:t>
      </w:r>
      <w:r w:rsidR="00D61A85" w:rsidRPr="00E66328">
        <w:t>,</w:t>
      </w:r>
      <w:r w:rsidR="00BB7E5D" w:rsidRPr="00E66328">
        <w:t xml:space="preserve"> </w:t>
      </w:r>
      <w:r w:rsidRPr="00E66328">
        <w:t>la consulta previa debe realizarse por parte del Estado en dos momentos:</w:t>
      </w:r>
    </w:p>
    <w:p w14:paraId="62B30E3C" w14:textId="77777777" w:rsidR="00BB7E5D" w:rsidRPr="00E66328" w:rsidRDefault="00BB7E5D" w:rsidP="00BB7E5D">
      <w:pPr>
        <w:pStyle w:val="Prrafodelista"/>
        <w:numPr>
          <w:ilvl w:val="0"/>
          <w:numId w:val="3"/>
        </w:numPr>
        <w:jc w:val="both"/>
        <w:rPr>
          <w:lang w:val="es-BO"/>
        </w:rPr>
      </w:pPr>
      <w:r w:rsidRPr="00E66328">
        <w:rPr>
          <w:lang w:val="es-BO"/>
        </w:rPr>
        <w:t>Previamente a la determinación de áreas reservadas para la exploración y explotación, a su licitación, autorización, contratación, convocatoria y aprobación de las medidas, obras o proyectos hidrocarburíferos</w:t>
      </w:r>
      <w:r w:rsidR="00D61A85" w:rsidRPr="00E66328">
        <w:rPr>
          <w:lang w:val="es-BO"/>
        </w:rPr>
        <w:t>.</w:t>
      </w:r>
      <w:r w:rsidRPr="00E66328">
        <w:rPr>
          <w:lang w:val="es-BO"/>
        </w:rPr>
        <w:t xml:space="preserve"> </w:t>
      </w:r>
    </w:p>
    <w:p w14:paraId="0A35F642" w14:textId="77777777" w:rsidR="00BB7E5D" w:rsidRPr="00E66328" w:rsidRDefault="00BB7E5D" w:rsidP="00605B2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81"/>
        <w:jc w:val="both"/>
        <w:rPr>
          <w:lang w:val="es-BO"/>
        </w:rPr>
      </w:pPr>
      <w:r w:rsidRPr="00E66328">
        <w:rPr>
          <w:lang w:val="es-BO"/>
        </w:rPr>
        <w:t>Previamente a la aprobación de los Estudios de Evaluación de Impacto Ambiental, al momento de realizar cualquier actividad hidrocarburifera específica para valorar el impacto de dicha actividad.</w:t>
      </w:r>
    </w:p>
    <w:p w14:paraId="5334E903" w14:textId="77777777" w:rsidR="00D43116" w:rsidRPr="00E66328" w:rsidRDefault="00BB7E5D" w:rsidP="00AF6555">
      <w:pPr>
        <w:jc w:val="both"/>
      </w:pPr>
      <w:r w:rsidRPr="00E66328">
        <w:lastRenderedPageBreak/>
        <w:t xml:space="preserve">No obstante, en la práctica el Ministerio de Hidrocarburos e YPFB definen las áreas donde se </w:t>
      </w:r>
      <w:r w:rsidR="00D61A85" w:rsidRPr="00E66328">
        <w:t>pretende desarrollar</w:t>
      </w:r>
      <w:r w:rsidRPr="00E66328">
        <w:t xml:space="preserve"> actividad hidrocaburífera, las comunica a </w:t>
      </w:r>
      <w:r w:rsidR="00D61A85" w:rsidRPr="00E66328">
        <w:t>través</w:t>
      </w:r>
      <w:r w:rsidRPr="00E66328">
        <w:t xml:space="preserve"> de un </w:t>
      </w:r>
      <w:r w:rsidR="00D61A85" w:rsidRPr="00E66328">
        <w:t>d</w:t>
      </w:r>
      <w:r w:rsidRPr="00E66328">
        <w:t xml:space="preserve">ecreto </w:t>
      </w:r>
      <w:r w:rsidR="00D61A85" w:rsidRPr="00E66328">
        <w:t>s</w:t>
      </w:r>
      <w:r w:rsidRPr="00E66328">
        <w:t>upremo y a partir de ese momento empieza a buscar empresas para que ingres</w:t>
      </w:r>
      <w:r w:rsidR="00D61A85" w:rsidRPr="00E66328">
        <w:t>es</w:t>
      </w:r>
      <w:r w:rsidRPr="00E66328">
        <w:t xml:space="preserve"> a </w:t>
      </w:r>
      <w:r w:rsidR="00D61A85" w:rsidRPr="00E66328">
        <w:t>es</w:t>
      </w:r>
      <w:r w:rsidRPr="00E66328">
        <w:t>as áreas</w:t>
      </w:r>
      <w:r w:rsidR="00D61A85" w:rsidRPr="00E66328">
        <w:t>,</w:t>
      </w:r>
      <w:r w:rsidRPr="00E66328">
        <w:t xml:space="preserve"> y negocia y suscribe contratos. </w:t>
      </w:r>
      <w:r w:rsidR="001C62CD" w:rsidRPr="00E66328">
        <w:t>Posteriormente a que</w:t>
      </w:r>
      <w:r w:rsidRPr="00E66328">
        <w:t xml:space="preserve"> la empresa </w:t>
      </w:r>
      <w:r w:rsidR="00D61A85" w:rsidRPr="00E66328">
        <w:t>decide</w:t>
      </w:r>
      <w:r w:rsidRPr="00E66328">
        <w:t xml:space="preserve"> iniciar </w:t>
      </w:r>
      <w:r w:rsidR="00D43116" w:rsidRPr="00E66328">
        <w:t>las actividades</w:t>
      </w:r>
      <w:r w:rsidR="00D61A85" w:rsidRPr="00E66328">
        <w:t>,</w:t>
      </w:r>
      <w:r w:rsidRPr="00E66328">
        <w:t xml:space="preserve"> realiza la consulta, en el segundo momento</w:t>
      </w:r>
      <w:r w:rsidR="00050132" w:rsidRPr="00E66328">
        <w:t>, lo que genera conflictos</w:t>
      </w:r>
      <w:r w:rsidRPr="00E66328">
        <w:t xml:space="preserve"> con la</w:t>
      </w:r>
      <w:r w:rsidR="00D43116" w:rsidRPr="00E66328">
        <w:t>s</w:t>
      </w:r>
      <w:r w:rsidRPr="00E66328">
        <w:t xml:space="preserve"> comunidades al haber sido vulnerados sus derechos</w:t>
      </w:r>
      <w:r w:rsidR="00D43116" w:rsidRPr="00E66328">
        <w:t xml:space="preserve"> desde un inicio</w:t>
      </w:r>
      <w:r w:rsidRPr="00E66328">
        <w:t>.</w:t>
      </w:r>
      <w:r w:rsidR="00D43116" w:rsidRPr="00E66328">
        <w:t xml:space="preserve"> </w:t>
      </w:r>
      <w:r w:rsidR="00050132" w:rsidRPr="00E66328">
        <w:t>También se han realizado</w:t>
      </w:r>
      <w:r w:rsidR="00D43116" w:rsidRPr="00E66328">
        <w:t xml:space="preserve"> </w:t>
      </w:r>
      <w:r w:rsidR="00050132" w:rsidRPr="00E66328">
        <w:t>varias</w:t>
      </w:r>
      <w:r w:rsidR="00D43116" w:rsidRPr="00E66328">
        <w:t xml:space="preserve"> modificaciones al reglamento sobre consulta</w:t>
      </w:r>
      <w:r w:rsidR="00050132" w:rsidRPr="00E66328">
        <w:t xml:space="preserve"> previa que le han quitado la es</w:t>
      </w:r>
      <w:r w:rsidR="00D43116" w:rsidRPr="00E66328">
        <w:t xml:space="preserve">encia </w:t>
      </w:r>
      <w:r w:rsidR="00050132" w:rsidRPr="00E66328">
        <w:t>a</w:t>
      </w:r>
      <w:r w:rsidR="00D43116" w:rsidRPr="00E66328">
        <w:t xml:space="preserve"> la norma</w:t>
      </w:r>
      <w:r w:rsidR="00050132" w:rsidRPr="00E66328">
        <w:t>; por otro lado,</w:t>
      </w:r>
      <w:r w:rsidR="00FC220E" w:rsidRPr="00E66328">
        <w:t xml:space="preserve"> las </w:t>
      </w:r>
      <w:r w:rsidR="00050132" w:rsidRPr="00E66328">
        <w:t>intervenciones del N</w:t>
      </w:r>
      <w:r w:rsidR="00D43116" w:rsidRPr="00E66328">
        <w:t xml:space="preserve">ivel </w:t>
      </w:r>
      <w:r w:rsidR="00050132" w:rsidRPr="00E66328">
        <w:t>C</w:t>
      </w:r>
      <w:r w:rsidR="00D43116" w:rsidRPr="00E66328">
        <w:t xml:space="preserve">entral </w:t>
      </w:r>
      <w:r w:rsidR="00050132" w:rsidRPr="00E66328">
        <w:t>la división de las comunidades y las prebendas a algunos dirigentes, a fin de facilitar las actividades extractivas.</w:t>
      </w:r>
    </w:p>
    <w:p w14:paraId="2FDC0A48" w14:textId="77777777" w:rsidR="00E66328" w:rsidRDefault="00E66328" w:rsidP="00AF6555">
      <w:pPr>
        <w:jc w:val="both"/>
      </w:pPr>
    </w:p>
    <w:p w14:paraId="27833F1B" w14:textId="77777777" w:rsidR="00E66328" w:rsidRPr="00374361" w:rsidRDefault="00374361" w:rsidP="00374361">
      <w:pPr>
        <w:rPr>
          <w:i/>
          <w:sz w:val="16"/>
          <w:szCs w:val="16"/>
        </w:rPr>
      </w:pPr>
      <w:r w:rsidRPr="00374361">
        <w:rPr>
          <w:i/>
          <w:sz w:val="16"/>
          <w:szCs w:val="16"/>
        </w:rPr>
        <w:t>Grupo de Trabajo de Cambio Climático y Justicia</w:t>
      </w:r>
      <w:r w:rsidRPr="00374361">
        <w:rPr>
          <w:i/>
          <w:sz w:val="16"/>
          <w:szCs w:val="16"/>
        </w:rPr>
        <w:br/>
      </w:r>
      <w:r>
        <w:rPr>
          <w:i/>
          <w:sz w:val="16"/>
          <w:szCs w:val="16"/>
        </w:rPr>
        <w:t>GTCCJ</w:t>
      </w:r>
      <w:r>
        <w:rPr>
          <w:i/>
          <w:sz w:val="16"/>
          <w:szCs w:val="16"/>
        </w:rPr>
        <w:br/>
      </w:r>
      <w:r w:rsidR="00E66328" w:rsidRPr="00374361">
        <w:rPr>
          <w:i/>
          <w:sz w:val="16"/>
          <w:szCs w:val="16"/>
        </w:rPr>
        <w:t>Febrero 2019</w:t>
      </w:r>
    </w:p>
    <w:p w14:paraId="7118A534" w14:textId="77777777" w:rsidR="00D43116" w:rsidRDefault="00D43116" w:rsidP="00AF6555">
      <w:pPr>
        <w:jc w:val="both"/>
      </w:pPr>
    </w:p>
    <w:sectPr w:rsidR="00D43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BBB"/>
    <w:multiLevelType w:val="hybridMultilevel"/>
    <w:tmpl w:val="DA14AA94"/>
    <w:lvl w:ilvl="0" w:tplc="47CEF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F6831"/>
    <w:multiLevelType w:val="hybridMultilevel"/>
    <w:tmpl w:val="0D140542"/>
    <w:lvl w:ilvl="0" w:tplc="C6BEE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1020"/>
    <w:multiLevelType w:val="hybridMultilevel"/>
    <w:tmpl w:val="9A205B44"/>
    <w:lvl w:ilvl="0" w:tplc="2D8A7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00D11"/>
    <w:multiLevelType w:val="hybridMultilevel"/>
    <w:tmpl w:val="DA8CDA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55"/>
    <w:rsid w:val="0000798C"/>
    <w:rsid w:val="0002405B"/>
    <w:rsid w:val="00050132"/>
    <w:rsid w:val="00120FE5"/>
    <w:rsid w:val="00166080"/>
    <w:rsid w:val="001A73A4"/>
    <w:rsid w:val="001C62CD"/>
    <w:rsid w:val="00242243"/>
    <w:rsid w:val="00270CDB"/>
    <w:rsid w:val="002871CD"/>
    <w:rsid w:val="002B26CC"/>
    <w:rsid w:val="002C4328"/>
    <w:rsid w:val="00374361"/>
    <w:rsid w:val="003E32C5"/>
    <w:rsid w:val="003F0C70"/>
    <w:rsid w:val="003F0CA1"/>
    <w:rsid w:val="00413418"/>
    <w:rsid w:val="00432FC2"/>
    <w:rsid w:val="00442020"/>
    <w:rsid w:val="00462159"/>
    <w:rsid w:val="00496BFD"/>
    <w:rsid w:val="004F4002"/>
    <w:rsid w:val="00605B2A"/>
    <w:rsid w:val="00613004"/>
    <w:rsid w:val="006277A7"/>
    <w:rsid w:val="00705458"/>
    <w:rsid w:val="00714205"/>
    <w:rsid w:val="00796794"/>
    <w:rsid w:val="008329FA"/>
    <w:rsid w:val="00851241"/>
    <w:rsid w:val="00872220"/>
    <w:rsid w:val="008F2206"/>
    <w:rsid w:val="0095224C"/>
    <w:rsid w:val="00971600"/>
    <w:rsid w:val="009C21D8"/>
    <w:rsid w:val="00A123F7"/>
    <w:rsid w:val="00AA7BEB"/>
    <w:rsid w:val="00AD7427"/>
    <w:rsid w:val="00AF6555"/>
    <w:rsid w:val="00B340BC"/>
    <w:rsid w:val="00B61118"/>
    <w:rsid w:val="00B91549"/>
    <w:rsid w:val="00BA785E"/>
    <w:rsid w:val="00BB129D"/>
    <w:rsid w:val="00BB7E5D"/>
    <w:rsid w:val="00C064D0"/>
    <w:rsid w:val="00C268BE"/>
    <w:rsid w:val="00C459F3"/>
    <w:rsid w:val="00C63BB7"/>
    <w:rsid w:val="00D43116"/>
    <w:rsid w:val="00D4404D"/>
    <w:rsid w:val="00D61A85"/>
    <w:rsid w:val="00DD142C"/>
    <w:rsid w:val="00E04E2A"/>
    <w:rsid w:val="00E14CA1"/>
    <w:rsid w:val="00E66328"/>
    <w:rsid w:val="00EF5C97"/>
    <w:rsid w:val="00F309D6"/>
    <w:rsid w:val="00FB046D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D3C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4D0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1126</Words>
  <Characters>6195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Usuario de Microsoft Office</cp:lastModifiedBy>
  <cp:revision>4</cp:revision>
  <dcterms:created xsi:type="dcterms:W3CDTF">2019-02-22T14:38:00Z</dcterms:created>
  <dcterms:modified xsi:type="dcterms:W3CDTF">2019-02-22T15:11:00Z</dcterms:modified>
</cp:coreProperties>
</file>