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AFD1" w14:textId="1C41DE39" w:rsidR="00F44A07" w:rsidRDefault="006F1966" w:rsidP="00F93256">
      <w:pPr>
        <w:pStyle w:val="Sinespaciado1"/>
        <w:jc w:val="center"/>
        <w:rPr>
          <w:rFonts w:ascii="Century Gothic" w:hAnsi="Century Gothic"/>
          <w:b/>
          <w:sz w:val="27"/>
          <w:szCs w:val="28"/>
        </w:rPr>
      </w:pPr>
      <w:r>
        <w:rPr>
          <w:rFonts w:ascii="Century Gothic" w:hAnsi="Century Gothic"/>
          <w:noProof/>
          <w:sz w:val="1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25F6E323" wp14:editId="065485D9">
            <wp:simplePos x="0" y="0"/>
            <wp:positionH relativeFrom="column">
              <wp:posOffset>2285816</wp:posOffset>
            </wp:positionH>
            <wp:positionV relativeFrom="paragraph">
              <wp:posOffset>-97012</wp:posOffset>
            </wp:positionV>
            <wp:extent cx="950595" cy="567055"/>
            <wp:effectExtent l="0" t="0" r="1905" b="4445"/>
            <wp:wrapNone/>
            <wp:docPr id="5" name="Imagen 4" descr="Logo JUBILEO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JUBILEO 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3CBFB" w14:textId="77777777" w:rsidR="00671C3A" w:rsidRDefault="00671C3A" w:rsidP="00F93256">
      <w:pPr>
        <w:pStyle w:val="Sinespaciado1"/>
        <w:jc w:val="center"/>
        <w:rPr>
          <w:rFonts w:ascii="Century Gothic" w:hAnsi="Century Gothic"/>
          <w:b/>
          <w:sz w:val="27"/>
          <w:szCs w:val="28"/>
        </w:rPr>
      </w:pPr>
    </w:p>
    <w:p w14:paraId="5A85460E" w14:textId="77777777" w:rsidR="00671C3A" w:rsidRDefault="00671C3A" w:rsidP="00F93256">
      <w:pPr>
        <w:pStyle w:val="Sinespaciado1"/>
        <w:jc w:val="center"/>
        <w:rPr>
          <w:rFonts w:ascii="Century Gothic" w:hAnsi="Century Gothic"/>
          <w:b/>
          <w:sz w:val="27"/>
          <w:szCs w:val="28"/>
        </w:rPr>
      </w:pPr>
    </w:p>
    <w:p w14:paraId="3D69B2C7" w14:textId="0AF65273" w:rsidR="00F44A07" w:rsidRPr="00B07EC9" w:rsidRDefault="00F44A07" w:rsidP="00F93256">
      <w:pPr>
        <w:pStyle w:val="Sinespaciado1"/>
        <w:jc w:val="center"/>
        <w:rPr>
          <w:rFonts w:ascii="Century Gothic" w:hAnsi="Century Gothic"/>
          <w:b/>
          <w:sz w:val="27"/>
          <w:szCs w:val="28"/>
        </w:rPr>
      </w:pPr>
      <w:r>
        <w:rPr>
          <w:rFonts w:ascii="Century Gothic" w:hAnsi="Century Gothic"/>
          <w:b/>
          <w:sz w:val="27"/>
          <w:szCs w:val="28"/>
        </w:rPr>
        <w:t xml:space="preserve">LA IMPORTACIÓN DE ALIMENTOS </w:t>
      </w:r>
      <w:r w:rsidR="00B32494">
        <w:rPr>
          <w:rFonts w:ascii="Century Gothic" w:hAnsi="Century Gothic"/>
          <w:b/>
          <w:sz w:val="27"/>
          <w:szCs w:val="28"/>
        </w:rPr>
        <w:t>COMO INSUMO</w:t>
      </w:r>
      <w:r w:rsidR="00EB65E3">
        <w:rPr>
          <w:rFonts w:ascii="Century Gothic" w:hAnsi="Century Gothic"/>
          <w:b/>
          <w:sz w:val="27"/>
          <w:szCs w:val="28"/>
        </w:rPr>
        <w:t>S</w:t>
      </w:r>
      <w:r w:rsidR="00B32494">
        <w:rPr>
          <w:rFonts w:ascii="Century Gothic" w:hAnsi="Century Gothic"/>
          <w:b/>
          <w:sz w:val="27"/>
          <w:szCs w:val="28"/>
        </w:rPr>
        <w:t xml:space="preserve"> </w:t>
      </w:r>
      <w:r w:rsidR="00B32494">
        <w:rPr>
          <w:rFonts w:ascii="Century Gothic" w:hAnsi="Century Gothic"/>
          <w:b/>
          <w:sz w:val="27"/>
          <w:szCs w:val="28"/>
        </w:rPr>
        <w:br/>
        <w:t>PARA</w:t>
      </w:r>
      <w:r>
        <w:rPr>
          <w:rFonts w:ascii="Century Gothic" w:hAnsi="Century Gothic"/>
          <w:b/>
          <w:sz w:val="27"/>
          <w:szCs w:val="28"/>
        </w:rPr>
        <w:t xml:space="preserve"> LA INDUSTRIA NACIONAL REPRESENTÓ</w:t>
      </w:r>
      <w:r w:rsidR="00B32494">
        <w:rPr>
          <w:rFonts w:ascii="Century Gothic" w:hAnsi="Century Gothic"/>
          <w:b/>
          <w:sz w:val="27"/>
          <w:szCs w:val="28"/>
        </w:rPr>
        <w:t xml:space="preserve"> </w:t>
      </w:r>
      <w:r>
        <w:rPr>
          <w:rFonts w:ascii="Century Gothic" w:hAnsi="Century Gothic"/>
          <w:b/>
          <w:sz w:val="27"/>
          <w:szCs w:val="28"/>
        </w:rPr>
        <w:t>31% EL 2017</w:t>
      </w:r>
    </w:p>
    <w:p w14:paraId="492233C0" w14:textId="77777777" w:rsidR="00F93256" w:rsidRPr="00B07EC9" w:rsidRDefault="00F93256" w:rsidP="00F93256">
      <w:pPr>
        <w:pStyle w:val="Sinespaciado1"/>
        <w:jc w:val="center"/>
        <w:rPr>
          <w:rFonts w:ascii="Century Gothic" w:hAnsi="Century Gothic"/>
          <w:b/>
          <w:sz w:val="24"/>
          <w:szCs w:val="28"/>
        </w:rPr>
      </w:pPr>
      <w:r w:rsidRPr="00B07EC9">
        <w:rPr>
          <w:rFonts w:ascii="Century Gothic" w:hAnsi="Century Gothic" w:cs="MyriadPro-Regular"/>
          <w:i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6B0E64" wp14:editId="32140951">
                <wp:simplePos x="0" y="0"/>
                <wp:positionH relativeFrom="column">
                  <wp:posOffset>-50232</wp:posOffset>
                </wp:positionH>
                <wp:positionV relativeFrom="paragraph">
                  <wp:posOffset>165402</wp:posOffset>
                </wp:positionV>
                <wp:extent cx="5848350" cy="926164"/>
                <wp:effectExtent l="0" t="0" r="19050" b="393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261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F1FF">
                            <a:alpha val="99001"/>
                          </a:srgb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7939A32" w14:textId="77777777" w:rsidR="00F93256" w:rsidRDefault="00F93256" w:rsidP="00F9325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B0E64" id="AutoShape 7" o:spid="_x0000_s1026" style="position:absolute;left:0;text-align:left;margin-left:-3.95pt;margin-top:13pt;width:460.5pt;height:7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" fillcolor="#e6f1ff" strokecolor="#4a7ebb" strokeweight="1.5pt">
                <v:fill opacity="64764f"/>
                <v:shadow on="t" color="gray" opacity="22938f" mv:blur="0" offset="0,2pt"/>
                <v:textbox inset=",7.2pt,,7.2pt">
                  <w:txbxContent>
                    <w:p w14:paraId="17939A32" w14:textId="77777777" w:rsidR="00F93256" w:rsidRDefault="00F93256" w:rsidP="00F93256"/>
                  </w:txbxContent>
                </v:textbox>
              </v:roundrect>
            </w:pict>
          </mc:Fallback>
        </mc:AlternateContent>
      </w:r>
    </w:p>
    <w:p w14:paraId="40281EF2" w14:textId="4089D18C" w:rsidR="00F93256" w:rsidRPr="00B07EC9" w:rsidRDefault="00B07EC9" w:rsidP="00F93256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B07EC9">
        <w:rPr>
          <w:rFonts w:ascii="Century Gothic" w:hAnsi="Century Gothic" w:cs="MyriadPro-Regular"/>
          <w:i/>
          <w:szCs w:val="24"/>
        </w:rPr>
        <w:t>Desde 2006</w:t>
      </w:r>
      <w:r w:rsidR="00477E7F">
        <w:rPr>
          <w:rFonts w:ascii="Century Gothic" w:hAnsi="Century Gothic" w:cs="MyriadPro-Regular"/>
          <w:i/>
          <w:szCs w:val="24"/>
        </w:rPr>
        <w:t>,</w:t>
      </w:r>
      <w:r w:rsidRPr="00B07EC9">
        <w:rPr>
          <w:rFonts w:ascii="Century Gothic" w:hAnsi="Century Gothic" w:cs="MyriadPro-Regular"/>
          <w:i/>
          <w:szCs w:val="24"/>
        </w:rPr>
        <w:t xml:space="preserve"> l</w:t>
      </w:r>
      <w:r w:rsidR="00F93256" w:rsidRPr="00B07EC9">
        <w:rPr>
          <w:rFonts w:ascii="Century Gothic" w:hAnsi="Century Gothic" w:cs="MyriadPro-Regular"/>
          <w:i/>
          <w:szCs w:val="24"/>
        </w:rPr>
        <w:t xml:space="preserve">a importación de alimentos </w:t>
      </w:r>
      <w:r w:rsidRPr="00B07EC9">
        <w:rPr>
          <w:rFonts w:ascii="Century Gothic" w:hAnsi="Century Gothic" w:cs="MyriadPro-Regular"/>
          <w:i/>
          <w:szCs w:val="24"/>
        </w:rPr>
        <w:t xml:space="preserve">para el consumo de los hogares </w:t>
      </w:r>
      <w:r w:rsidR="007260C7">
        <w:rPr>
          <w:rFonts w:ascii="Century Gothic" w:hAnsi="Century Gothic" w:cs="MyriadPro-Regular"/>
          <w:i/>
          <w:szCs w:val="24"/>
        </w:rPr>
        <w:t xml:space="preserve">se incrementó en </w:t>
      </w:r>
      <w:r w:rsidRPr="00B07EC9">
        <w:rPr>
          <w:rFonts w:ascii="Century Gothic" w:hAnsi="Century Gothic" w:cs="MyriadPro-Regular"/>
          <w:i/>
          <w:szCs w:val="24"/>
        </w:rPr>
        <w:t>277%.</w:t>
      </w:r>
    </w:p>
    <w:p w14:paraId="5E380DB8" w14:textId="485C812B" w:rsidR="00F93256" w:rsidRDefault="00F93256" w:rsidP="00F93256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B07EC9">
        <w:rPr>
          <w:rFonts w:ascii="Century Gothic" w:hAnsi="Century Gothic" w:cs="MyriadPro-Regular"/>
          <w:i/>
          <w:szCs w:val="24"/>
        </w:rPr>
        <w:t xml:space="preserve">El valor de la importación de </w:t>
      </w:r>
      <w:r w:rsidR="00B07EC9" w:rsidRPr="00B07EC9">
        <w:rPr>
          <w:rFonts w:ascii="Century Gothic" w:hAnsi="Century Gothic" w:cs="MyriadPro-Regular"/>
          <w:i/>
          <w:szCs w:val="24"/>
        </w:rPr>
        <w:t>harina de trigo se incrementó en 195%</w:t>
      </w:r>
      <w:r w:rsidR="00477E7F">
        <w:rPr>
          <w:rFonts w:ascii="Century Gothic" w:hAnsi="Century Gothic" w:cs="MyriadPro-Regular"/>
          <w:i/>
          <w:szCs w:val="24"/>
        </w:rPr>
        <w:t xml:space="preserve"> desde </w:t>
      </w:r>
      <w:r w:rsidR="00477E7F" w:rsidRPr="00B07EC9">
        <w:rPr>
          <w:rFonts w:ascii="Century Gothic" w:hAnsi="Century Gothic" w:cs="MyriadPro-Regular"/>
          <w:i/>
          <w:szCs w:val="24"/>
        </w:rPr>
        <w:t>2006</w:t>
      </w:r>
      <w:r w:rsidR="007260C7">
        <w:rPr>
          <w:rFonts w:ascii="Century Gothic" w:hAnsi="Century Gothic" w:cs="MyriadPro-Regular"/>
          <w:i/>
          <w:szCs w:val="24"/>
        </w:rPr>
        <w:t>.</w:t>
      </w:r>
    </w:p>
    <w:p w14:paraId="27732396" w14:textId="77777777" w:rsidR="00741D2E" w:rsidRDefault="00741D2E" w:rsidP="00F93256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</w:p>
    <w:p w14:paraId="0728FFDF" w14:textId="45BE5E2B" w:rsidR="00F93256" w:rsidRPr="00F33E37" w:rsidRDefault="00F93256" w:rsidP="00F93256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F33E37">
        <w:rPr>
          <w:rFonts w:ascii="Century Gothic" w:hAnsi="Century Gothic" w:cs="MyriadPro-Regular"/>
          <w:i/>
          <w:szCs w:val="24"/>
        </w:rPr>
        <w:t xml:space="preserve">Los productos alimenticios que </w:t>
      </w:r>
      <w:r w:rsidR="004A5EB5">
        <w:rPr>
          <w:rFonts w:ascii="Century Gothic" w:hAnsi="Century Gothic" w:cs="MyriadPro-Regular"/>
          <w:i/>
          <w:szCs w:val="24"/>
        </w:rPr>
        <w:t>más</w:t>
      </w:r>
      <w:r w:rsidRPr="00F33E37">
        <w:rPr>
          <w:rFonts w:ascii="Century Gothic" w:hAnsi="Century Gothic" w:cs="MyriadPro-Regular"/>
          <w:i/>
          <w:szCs w:val="24"/>
        </w:rPr>
        <w:t xml:space="preserve"> se importaron </w:t>
      </w:r>
      <w:r w:rsidR="007151B0">
        <w:rPr>
          <w:rFonts w:ascii="Century Gothic" w:hAnsi="Century Gothic" w:cs="MyriadPro-Regular"/>
          <w:i/>
          <w:szCs w:val="24"/>
        </w:rPr>
        <w:t>durante la gestión 2017</w:t>
      </w:r>
      <w:r w:rsidRPr="00F33E37">
        <w:rPr>
          <w:rFonts w:ascii="Century Gothic" w:hAnsi="Century Gothic" w:cs="MyriadPro-Regular"/>
          <w:i/>
          <w:szCs w:val="24"/>
        </w:rPr>
        <w:t xml:space="preserve"> fueron aquellos destinados a la preparación de bebidas, concentrados de proteínas, condimentos, sazonadores</w:t>
      </w:r>
      <w:r w:rsidR="0016737F">
        <w:rPr>
          <w:rFonts w:ascii="Century Gothic" w:hAnsi="Century Gothic" w:cs="MyriadPro-Regular"/>
          <w:i/>
          <w:szCs w:val="24"/>
        </w:rPr>
        <w:t xml:space="preserve">, </w:t>
      </w:r>
      <w:r w:rsidRPr="00F33E37">
        <w:rPr>
          <w:rFonts w:ascii="Century Gothic" w:hAnsi="Century Gothic" w:cs="MyriadPro-Regular"/>
          <w:i/>
          <w:szCs w:val="24"/>
        </w:rPr>
        <w:t>café</w:t>
      </w:r>
      <w:r w:rsidR="0016737F">
        <w:rPr>
          <w:rFonts w:ascii="Century Gothic" w:hAnsi="Century Gothic" w:cs="MyriadPro-Regular"/>
          <w:i/>
          <w:szCs w:val="24"/>
        </w:rPr>
        <w:t>, etc</w:t>
      </w:r>
      <w:r w:rsidRPr="00F33E37">
        <w:rPr>
          <w:rFonts w:ascii="Century Gothic" w:hAnsi="Century Gothic" w:cs="MyriadPro-Regular"/>
          <w:i/>
          <w:szCs w:val="24"/>
        </w:rPr>
        <w:t xml:space="preserve">. El valor de esos productos fue superior a </w:t>
      </w:r>
      <w:r w:rsidR="007151B0">
        <w:rPr>
          <w:rFonts w:ascii="Century Gothic" w:hAnsi="Century Gothic" w:cs="MyriadPro-Regular"/>
          <w:i/>
          <w:szCs w:val="24"/>
        </w:rPr>
        <w:t>151</w:t>
      </w:r>
      <w:r w:rsidRPr="00F33E37">
        <w:rPr>
          <w:rFonts w:ascii="Century Gothic" w:hAnsi="Century Gothic" w:cs="MyriadPro-Regular"/>
          <w:i/>
          <w:szCs w:val="24"/>
        </w:rPr>
        <w:t xml:space="preserve"> millones de dólares.</w:t>
      </w:r>
    </w:p>
    <w:p w14:paraId="4AECC156" w14:textId="77777777" w:rsidR="00F93256" w:rsidRPr="00F33E37" w:rsidRDefault="00F93256" w:rsidP="00F93256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 w:rsidRPr="00F33E37">
        <w:rPr>
          <w:rFonts w:ascii="Century Gothic" w:hAnsi="Century Gothic" w:cs="MyriadPro-Regular"/>
          <w:i/>
          <w:szCs w:val="24"/>
        </w:rPr>
        <w:t xml:space="preserve">En segunda instancia se encuentra la importación de productos de molinería, como harina de trigo y malta, por más de </w:t>
      </w:r>
      <w:r w:rsidR="007151B0">
        <w:rPr>
          <w:rFonts w:ascii="Century Gothic" w:hAnsi="Century Gothic" w:cs="MyriadPro-Regular"/>
          <w:i/>
          <w:szCs w:val="24"/>
        </w:rPr>
        <w:t>1</w:t>
      </w:r>
      <w:r w:rsidRPr="00F33E37">
        <w:rPr>
          <w:rFonts w:ascii="Century Gothic" w:hAnsi="Century Gothic" w:cs="MyriadPro-Regular"/>
          <w:i/>
          <w:szCs w:val="24"/>
        </w:rPr>
        <w:t>2</w:t>
      </w:r>
      <w:r w:rsidR="007151B0">
        <w:rPr>
          <w:rFonts w:ascii="Century Gothic" w:hAnsi="Century Gothic" w:cs="MyriadPro-Regular"/>
          <w:i/>
          <w:szCs w:val="24"/>
        </w:rPr>
        <w:t>8</w:t>
      </w:r>
      <w:r w:rsidRPr="00F33E37">
        <w:rPr>
          <w:rFonts w:ascii="Century Gothic" w:hAnsi="Century Gothic" w:cs="MyriadPro-Regular"/>
          <w:i/>
          <w:szCs w:val="24"/>
        </w:rPr>
        <w:t xml:space="preserve"> millones de dólares.</w:t>
      </w:r>
    </w:p>
    <w:p w14:paraId="77C1EA56" w14:textId="5440A3D1" w:rsidR="00BD5279" w:rsidRPr="00F33E37" w:rsidRDefault="00F9418A" w:rsidP="00BD5279">
      <w:pPr>
        <w:pStyle w:val="Sinespaciado1"/>
        <w:spacing w:before="120" w:after="120"/>
        <w:jc w:val="both"/>
        <w:rPr>
          <w:rFonts w:ascii="Century Gothic" w:hAnsi="Century Gothic" w:cs="MyriadPro-Regular"/>
          <w:i/>
          <w:szCs w:val="24"/>
        </w:rPr>
      </w:pPr>
      <w:r>
        <w:rPr>
          <w:rFonts w:ascii="Century Gothic" w:hAnsi="Century Gothic" w:cs="MyriadPro-Regular"/>
          <w:i/>
          <w:szCs w:val="24"/>
        </w:rPr>
        <w:t>En comparación con</w:t>
      </w:r>
      <w:r w:rsidR="00F93256" w:rsidRPr="00F33E37">
        <w:rPr>
          <w:rFonts w:ascii="Century Gothic" w:hAnsi="Century Gothic" w:cs="MyriadPro-Regular"/>
          <w:i/>
          <w:szCs w:val="24"/>
        </w:rPr>
        <w:t xml:space="preserve"> la gestión 2016, el mayor incremento </w:t>
      </w:r>
      <w:r>
        <w:rPr>
          <w:rFonts w:ascii="Century Gothic" w:hAnsi="Century Gothic" w:cs="MyriadPro-Regular"/>
          <w:i/>
          <w:szCs w:val="24"/>
        </w:rPr>
        <w:t>durante, el año 2017,</w:t>
      </w:r>
      <w:r w:rsidR="00F93256" w:rsidRPr="00F33E37">
        <w:rPr>
          <w:rFonts w:ascii="Century Gothic" w:hAnsi="Century Gothic" w:cs="MyriadPro-Regular"/>
          <w:i/>
          <w:szCs w:val="24"/>
        </w:rPr>
        <w:t xml:space="preserve"> fue en la importación de </w:t>
      </w:r>
      <w:r w:rsidR="00D4297B">
        <w:rPr>
          <w:rFonts w:ascii="Century Gothic" w:hAnsi="Century Gothic" w:cs="MyriadPro-Regular"/>
          <w:i/>
          <w:szCs w:val="24"/>
        </w:rPr>
        <w:t>pescados</w:t>
      </w:r>
      <w:r w:rsidR="004A5EB5">
        <w:rPr>
          <w:rFonts w:ascii="Century Gothic" w:hAnsi="Century Gothic" w:cs="MyriadPro-Regular"/>
          <w:i/>
          <w:szCs w:val="24"/>
        </w:rPr>
        <w:t>,</w:t>
      </w:r>
      <w:r w:rsidR="00D4297B">
        <w:rPr>
          <w:rFonts w:ascii="Century Gothic" w:hAnsi="Century Gothic" w:cs="MyriadPro-Regular"/>
          <w:i/>
          <w:szCs w:val="24"/>
        </w:rPr>
        <w:t xml:space="preserve"> 30</w:t>
      </w:r>
      <w:r w:rsidR="006053C3">
        <w:rPr>
          <w:rFonts w:ascii="Century Gothic" w:hAnsi="Century Gothic" w:cs="MyriadPro-Regular"/>
          <w:i/>
          <w:szCs w:val="24"/>
        </w:rPr>
        <w:t>,1%</w:t>
      </w:r>
      <w:r w:rsidR="004A5EB5">
        <w:rPr>
          <w:rFonts w:ascii="Century Gothic" w:hAnsi="Century Gothic" w:cs="MyriadPro-Regular"/>
          <w:i/>
          <w:szCs w:val="24"/>
        </w:rPr>
        <w:t>;</w:t>
      </w:r>
      <w:r w:rsidR="00D4297B">
        <w:rPr>
          <w:rFonts w:ascii="Century Gothic" w:hAnsi="Century Gothic" w:cs="MyriadPro-Regular"/>
          <w:i/>
          <w:szCs w:val="24"/>
        </w:rPr>
        <w:t xml:space="preserve"> g</w:t>
      </w:r>
      <w:r w:rsidR="00D4297B" w:rsidRPr="00D4297B">
        <w:rPr>
          <w:rFonts w:ascii="Century Gothic" w:hAnsi="Century Gothic" w:cs="MyriadPro-Regular"/>
          <w:i/>
          <w:szCs w:val="24"/>
        </w:rPr>
        <w:t>rasa y aceites animales o vegetales</w:t>
      </w:r>
      <w:r w:rsidR="00765125">
        <w:rPr>
          <w:rFonts w:ascii="Century Gothic" w:hAnsi="Century Gothic" w:cs="MyriadPro-Regular"/>
          <w:i/>
          <w:szCs w:val="24"/>
        </w:rPr>
        <w:t>,</w:t>
      </w:r>
      <w:r w:rsidR="00A12C9E">
        <w:rPr>
          <w:rFonts w:ascii="Century Gothic" w:hAnsi="Century Gothic" w:cs="MyriadPro-Regular"/>
          <w:i/>
          <w:szCs w:val="24"/>
        </w:rPr>
        <w:t xml:space="preserve"> 24,3%;</w:t>
      </w:r>
      <w:r w:rsidR="00BD5279">
        <w:rPr>
          <w:rFonts w:ascii="Century Gothic" w:hAnsi="Century Gothic" w:cs="MyriadPro-Regular"/>
          <w:i/>
          <w:szCs w:val="24"/>
        </w:rPr>
        <w:t xml:space="preserve"> </w:t>
      </w:r>
      <w:r>
        <w:rPr>
          <w:rFonts w:ascii="Century Gothic" w:hAnsi="Century Gothic" w:cs="MyriadPro-Regular"/>
          <w:i/>
          <w:szCs w:val="24"/>
        </w:rPr>
        <w:t>y</w:t>
      </w:r>
      <w:r w:rsidR="00BD5279">
        <w:rPr>
          <w:rFonts w:ascii="Century Gothic" w:hAnsi="Century Gothic" w:cs="MyriadPro-Regular"/>
          <w:i/>
          <w:szCs w:val="24"/>
        </w:rPr>
        <w:t xml:space="preserve"> azúcar y a</w:t>
      </w:r>
      <w:r w:rsidR="00EB65E3">
        <w:rPr>
          <w:rFonts w:ascii="Century Gothic" w:hAnsi="Century Gothic" w:cs="MyriadPro-Regular"/>
          <w:i/>
          <w:szCs w:val="24"/>
        </w:rPr>
        <w:t>rtículos de confitería</w:t>
      </w:r>
      <w:r>
        <w:rPr>
          <w:rFonts w:ascii="Century Gothic" w:hAnsi="Century Gothic" w:cs="MyriadPro-Regular"/>
          <w:i/>
          <w:szCs w:val="24"/>
        </w:rPr>
        <w:t>,</w:t>
      </w:r>
      <w:r w:rsidR="00EB65E3">
        <w:rPr>
          <w:rFonts w:ascii="Century Gothic" w:hAnsi="Century Gothic" w:cs="MyriadPro-Regular"/>
          <w:i/>
          <w:szCs w:val="24"/>
        </w:rPr>
        <w:t xml:space="preserve"> 18,4%, </w:t>
      </w:r>
    </w:p>
    <w:p w14:paraId="6547ED3C" w14:textId="77777777" w:rsidR="00D54964" w:rsidRDefault="00D4297B">
      <w:r w:rsidRPr="00D4297B">
        <w:rPr>
          <w:noProof/>
          <w:lang w:val="es-ES_tradnl" w:eastAsia="es-ES_tradnl"/>
        </w:rPr>
        <w:drawing>
          <wp:inline distT="0" distB="0" distL="0" distR="0" wp14:anchorId="45B62CFC" wp14:editId="78E8A11A">
            <wp:extent cx="5399260" cy="292768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74" cy="29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0AB7" w14:textId="30BAF453" w:rsidR="00103AFE" w:rsidRPr="00B07EC9" w:rsidRDefault="007260C7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>
        <w:rPr>
          <w:rFonts w:ascii="Century Gothic" w:eastAsia="Cambria" w:hAnsi="Century Gothic" w:cs="MyriadPro-Regular"/>
          <w:i/>
          <w:szCs w:val="24"/>
        </w:rPr>
        <w:t>El proceso de diversificación económica está todavía pendiente</w:t>
      </w:r>
      <w:r w:rsidR="00F9418A">
        <w:rPr>
          <w:rFonts w:ascii="Century Gothic" w:eastAsia="Cambria" w:hAnsi="Century Gothic" w:cs="MyriadPro-Regular"/>
          <w:i/>
          <w:szCs w:val="24"/>
        </w:rPr>
        <w:t xml:space="preserve"> en el país.</w:t>
      </w:r>
      <w:r>
        <w:rPr>
          <w:rFonts w:ascii="Century Gothic" w:eastAsia="Cambria" w:hAnsi="Century Gothic" w:cs="MyriadPro-Regular"/>
          <w:i/>
          <w:szCs w:val="24"/>
        </w:rPr>
        <w:t xml:space="preserve"> </w:t>
      </w:r>
      <w:r w:rsidR="00F9418A">
        <w:rPr>
          <w:rFonts w:ascii="Century Gothic" w:eastAsia="Cambria" w:hAnsi="Century Gothic" w:cs="MyriadPro-Regular"/>
          <w:i/>
          <w:szCs w:val="24"/>
        </w:rPr>
        <w:t>T</w:t>
      </w:r>
      <w:r w:rsidR="0022536C" w:rsidRPr="00B07EC9">
        <w:rPr>
          <w:rFonts w:ascii="Century Gothic" w:eastAsia="Cambria" w:hAnsi="Century Gothic" w:cs="MyriadPro-Regular"/>
          <w:i/>
          <w:szCs w:val="24"/>
        </w:rPr>
        <w:t xml:space="preserve">odavía </w:t>
      </w:r>
      <w:r w:rsidR="00F9418A">
        <w:rPr>
          <w:rFonts w:ascii="Century Gothic" w:eastAsia="Cambria" w:hAnsi="Century Gothic" w:cs="MyriadPro-Regular"/>
          <w:i/>
          <w:szCs w:val="24"/>
        </w:rPr>
        <w:t xml:space="preserve">se </w:t>
      </w:r>
      <w:r w:rsidR="00CE6AE1" w:rsidRPr="00B07EC9">
        <w:rPr>
          <w:rFonts w:ascii="Century Gothic" w:eastAsia="Cambria" w:hAnsi="Century Gothic" w:cs="MyriadPro-Regular"/>
          <w:i/>
          <w:szCs w:val="24"/>
        </w:rPr>
        <w:t>importa</w:t>
      </w:r>
      <w:r w:rsidR="00F9418A">
        <w:rPr>
          <w:rFonts w:ascii="Century Gothic" w:eastAsia="Cambria" w:hAnsi="Century Gothic" w:cs="MyriadPro-Regular"/>
          <w:i/>
          <w:szCs w:val="24"/>
        </w:rPr>
        <w:t>n</w:t>
      </w:r>
      <w:r w:rsidR="0022536C" w:rsidRPr="00B07EC9">
        <w:rPr>
          <w:rFonts w:ascii="Century Gothic" w:eastAsia="Cambria" w:hAnsi="Century Gothic" w:cs="MyriadPro-Regular"/>
          <w:i/>
          <w:szCs w:val="24"/>
        </w:rPr>
        <w:t xml:space="preserve"> </w:t>
      </w:r>
      <w:r w:rsidR="00CE6AE1" w:rsidRPr="00B07EC9">
        <w:rPr>
          <w:rFonts w:ascii="Century Gothic" w:eastAsia="Cambria" w:hAnsi="Century Gothic" w:cs="MyriadPro-Regular"/>
          <w:i/>
          <w:szCs w:val="24"/>
        </w:rPr>
        <w:t>alimentos como trigo y harina de trigo</w:t>
      </w:r>
      <w:r w:rsidR="00A830C9" w:rsidRPr="00B07EC9">
        <w:rPr>
          <w:rFonts w:ascii="Century Gothic" w:eastAsia="Cambria" w:hAnsi="Century Gothic" w:cs="MyriadPro-Regular"/>
          <w:i/>
          <w:szCs w:val="24"/>
        </w:rPr>
        <w:t>,</w:t>
      </w:r>
      <w:r w:rsidR="00CE6AE1" w:rsidRPr="00B07EC9">
        <w:rPr>
          <w:rFonts w:ascii="Century Gothic" w:eastAsia="Cambria" w:hAnsi="Century Gothic" w:cs="MyriadPro-Regular"/>
          <w:i/>
          <w:szCs w:val="24"/>
        </w:rPr>
        <w:t xml:space="preserve"> </w:t>
      </w:r>
      <w:r w:rsidR="00A830C9" w:rsidRPr="00B07EC9">
        <w:rPr>
          <w:rFonts w:ascii="Century Gothic" w:eastAsia="Cambria" w:hAnsi="Century Gothic" w:cs="MyriadPro-Regular"/>
          <w:i/>
          <w:szCs w:val="24"/>
        </w:rPr>
        <w:t xml:space="preserve">los cuales sirven como materia prima e insumos para la industria nacional, </w:t>
      </w:r>
      <w:r w:rsidR="00D70F6E" w:rsidRPr="00B07EC9">
        <w:rPr>
          <w:rFonts w:ascii="Century Gothic" w:eastAsia="Cambria" w:hAnsi="Century Gothic" w:cs="MyriadPro-Regular"/>
          <w:i/>
          <w:szCs w:val="24"/>
        </w:rPr>
        <w:t xml:space="preserve">estos </w:t>
      </w:r>
      <w:r w:rsidR="00A830C9" w:rsidRPr="00B07EC9">
        <w:rPr>
          <w:rFonts w:ascii="Century Gothic" w:eastAsia="Cambria" w:hAnsi="Century Gothic" w:cs="MyriadPro-Regular"/>
          <w:i/>
          <w:szCs w:val="24"/>
        </w:rPr>
        <w:t xml:space="preserve">productos </w:t>
      </w:r>
      <w:r w:rsidR="00F9418A">
        <w:rPr>
          <w:rFonts w:ascii="Century Gothic" w:eastAsia="Cambria" w:hAnsi="Century Gothic" w:cs="MyriadPro-Regular"/>
          <w:i/>
          <w:szCs w:val="24"/>
        </w:rPr>
        <w:t>están</w:t>
      </w:r>
      <w:r w:rsidR="00D70F6E" w:rsidRPr="00B07EC9">
        <w:rPr>
          <w:rFonts w:ascii="Century Gothic" w:eastAsia="Cambria" w:hAnsi="Century Gothic" w:cs="MyriadPro-Regular"/>
          <w:i/>
          <w:szCs w:val="24"/>
        </w:rPr>
        <w:t xml:space="preserve"> entre los principales con mayor valor de importación. </w:t>
      </w:r>
      <w:r>
        <w:rPr>
          <w:rFonts w:ascii="Century Gothic" w:eastAsia="Cambria" w:hAnsi="Century Gothic" w:cs="MyriadPro-Regular"/>
          <w:i/>
          <w:szCs w:val="24"/>
        </w:rPr>
        <w:t>La importación de t</w:t>
      </w:r>
      <w:r w:rsidR="00D70F6E" w:rsidRPr="00B07EC9">
        <w:rPr>
          <w:rFonts w:ascii="Century Gothic" w:eastAsia="Cambria" w:hAnsi="Century Gothic" w:cs="MyriadPro-Regular"/>
          <w:i/>
          <w:szCs w:val="24"/>
        </w:rPr>
        <w:t xml:space="preserve">rigo </w:t>
      </w:r>
      <w:r>
        <w:rPr>
          <w:rFonts w:ascii="Century Gothic" w:eastAsia="Cambria" w:hAnsi="Century Gothic" w:cs="MyriadPro-Regular"/>
          <w:i/>
          <w:szCs w:val="24"/>
        </w:rPr>
        <w:t>(</w:t>
      </w:r>
      <w:r w:rsidR="00D70F6E" w:rsidRPr="00B07EC9">
        <w:rPr>
          <w:rFonts w:ascii="Century Gothic" w:eastAsia="Cambria" w:hAnsi="Century Gothic" w:cs="MyriadPro-Regular"/>
          <w:i/>
          <w:szCs w:val="24"/>
        </w:rPr>
        <w:t>duros y para la siembra</w:t>
      </w:r>
      <w:r>
        <w:rPr>
          <w:rFonts w:ascii="Century Gothic" w:eastAsia="Cambria" w:hAnsi="Century Gothic" w:cs="MyriadPro-Regular"/>
          <w:i/>
          <w:szCs w:val="24"/>
        </w:rPr>
        <w:t>) se</w:t>
      </w:r>
      <w:r w:rsidR="00D70F6E" w:rsidRPr="00B07EC9">
        <w:rPr>
          <w:rFonts w:ascii="Century Gothic" w:eastAsia="Cambria" w:hAnsi="Century Gothic" w:cs="MyriadPro-Regular"/>
          <w:i/>
          <w:szCs w:val="24"/>
        </w:rPr>
        <w:t xml:space="preserve"> </w:t>
      </w:r>
      <w:r w:rsidRPr="00B07EC9">
        <w:rPr>
          <w:rFonts w:ascii="Century Gothic" w:eastAsia="Cambria" w:hAnsi="Century Gothic" w:cs="MyriadPro-Regular"/>
          <w:i/>
          <w:szCs w:val="24"/>
        </w:rPr>
        <w:t>incrementó</w:t>
      </w:r>
      <w:r w:rsidR="00D70F6E" w:rsidRPr="00B07EC9">
        <w:rPr>
          <w:rFonts w:ascii="Century Gothic" w:eastAsia="Cambria" w:hAnsi="Century Gothic" w:cs="MyriadPro-Regular"/>
          <w:i/>
          <w:szCs w:val="24"/>
        </w:rPr>
        <w:t xml:space="preserve"> desde 2006 hasta 2017 </w:t>
      </w:r>
      <w:r>
        <w:rPr>
          <w:rFonts w:ascii="Century Gothic" w:eastAsia="Cambria" w:hAnsi="Century Gothic" w:cs="MyriadPro-Regular"/>
          <w:i/>
          <w:szCs w:val="24"/>
        </w:rPr>
        <w:t xml:space="preserve">en </w:t>
      </w:r>
      <w:r w:rsidR="00D70F6E" w:rsidRPr="00B07EC9">
        <w:rPr>
          <w:rFonts w:ascii="Century Gothic" w:eastAsia="Cambria" w:hAnsi="Century Gothic" w:cs="MyriadPro-Regular"/>
          <w:i/>
          <w:szCs w:val="24"/>
        </w:rPr>
        <w:t xml:space="preserve">39% y en 2017 respecto de 2016 </w:t>
      </w:r>
      <w:r>
        <w:rPr>
          <w:rFonts w:ascii="Century Gothic" w:eastAsia="Cambria" w:hAnsi="Century Gothic" w:cs="MyriadPro-Regular"/>
          <w:i/>
          <w:szCs w:val="24"/>
        </w:rPr>
        <w:t>el incremento fue de 16%.</w:t>
      </w:r>
    </w:p>
    <w:p w14:paraId="2658C1E2" w14:textId="372DAE3A" w:rsidR="00D70F6E" w:rsidRPr="00B07EC9" w:rsidRDefault="00D70F6E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 w:rsidRPr="00B07EC9">
        <w:rPr>
          <w:rFonts w:ascii="Century Gothic" w:eastAsia="Cambria" w:hAnsi="Century Gothic" w:cs="MyriadPro-Regular"/>
          <w:i/>
          <w:szCs w:val="24"/>
        </w:rPr>
        <w:t>La harina de trigo</w:t>
      </w:r>
      <w:r w:rsidR="00EB65E3">
        <w:rPr>
          <w:rFonts w:ascii="Century Gothic" w:eastAsia="Cambria" w:hAnsi="Century Gothic" w:cs="MyriadPro-Regular"/>
          <w:i/>
          <w:szCs w:val="24"/>
        </w:rPr>
        <w:t>,</w:t>
      </w:r>
      <w:r w:rsidRPr="00B07EC9">
        <w:rPr>
          <w:rFonts w:ascii="Century Gothic" w:eastAsia="Cambria" w:hAnsi="Century Gothic" w:cs="MyriadPro-Regular"/>
          <w:i/>
          <w:szCs w:val="24"/>
        </w:rPr>
        <w:t xml:space="preserve"> </w:t>
      </w:r>
      <w:r w:rsidR="00760630" w:rsidRPr="00B07EC9">
        <w:rPr>
          <w:rFonts w:ascii="Century Gothic" w:eastAsia="Cambria" w:hAnsi="Century Gothic" w:cs="MyriadPro-Regular"/>
          <w:i/>
          <w:szCs w:val="24"/>
        </w:rPr>
        <w:t xml:space="preserve">que se constituye </w:t>
      </w:r>
      <w:r w:rsidR="00EB65E3">
        <w:rPr>
          <w:rFonts w:ascii="Century Gothic" w:eastAsia="Cambria" w:hAnsi="Century Gothic" w:cs="MyriadPro-Regular"/>
          <w:i/>
          <w:szCs w:val="24"/>
        </w:rPr>
        <w:t>en el principal insumo para la</w:t>
      </w:r>
      <w:r w:rsidR="00760630" w:rsidRPr="00B07EC9">
        <w:rPr>
          <w:rFonts w:ascii="Century Gothic" w:eastAsia="Cambria" w:hAnsi="Century Gothic" w:cs="MyriadPro-Regular"/>
          <w:i/>
          <w:szCs w:val="24"/>
        </w:rPr>
        <w:t xml:space="preserve"> </w:t>
      </w:r>
      <w:r w:rsidR="00EB65E3">
        <w:rPr>
          <w:rFonts w:ascii="Century Gothic" w:eastAsia="Cambria" w:hAnsi="Century Gothic" w:cs="MyriadPro-Regular"/>
          <w:i/>
          <w:szCs w:val="24"/>
        </w:rPr>
        <w:t>industria</w:t>
      </w:r>
      <w:r w:rsidR="00760630" w:rsidRPr="00B07EC9">
        <w:rPr>
          <w:rFonts w:ascii="Century Gothic" w:eastAsia="Cambria" w:hAnsi="Century Gothic" w:cs="MyriadPro-Regular"/>
          <w:i/>
          <w:szCs w:val="24"/>
        </w:rPr>
        <w:t xml:space="preserve"> de pastelería</w:t>
      </w:r>
      <w:r w:rsidR="007260C7">
        <w:rPr>
          <w:rFonts w:ascii="Century Gothic" w:eastAsia="Cambria" w:hAnsi="Century Gothic" w:cs="MyriadPro-Regular"/>
          <w:i/>
          <w:szCs w:val="24"/>
        </w:rPr>
        <w:t xml:space="preserve"> y panadería, entre 2006 y 2017, </w:t>
      </w:r>
      <w:r w:rsidR="00760630" w:rsidRPr="00B07EC9">
        <w:rPr>
          <w:rFonts w:ascii="Century Gothic" w:eastAsia="Cambria" w:hAnsi="Century Gothic" w:cs="MyriadPro-Regular"/>
          <w:i/>
          <w:szCs w:val="24"/>
        </w:rPr>
        <w:t>increment</w:t>
      </w:r>
      <w:r w:rsidR="00EB65E3">
        <w:rPr>
          <w:rFonts w:ascii="Century Gothic" w:eastAsia="Cambria" w:hAnsi="Century Gothic" w:cs="MyriadPro-Regular"/>
          <w:i/>
          <w:szCs w:val="24"/>
        </w:rPr>
        <w:t>ó</w:t>
      </w:r>
      <w:r w:rsidR="007260C7">
        <w:rPr>
          <w:rFonts w:ascii="Century Gothic" w:eastAsia="Cambria" w:hAnsi="Century Gothic" w:cs="MyriadPro-Regular"/>
          <w:i/>
          <w:szCs w:val="24"/>
        </w:rPr>
        <w:t xml:space="preserve"> </w:t>
      </w:r>
      <w:r w:rsidR="00760630" w:rsidRPr="00B07EC9">
        <w:rPr>
          <w:rFonts w:ascii="Century Gothic" w:eastAsia="Cambria" w:hAnsi="Century Gothic" w:cs="MyriadPro-Regular"/>
          <w:i/>
          <w:szCs w:val="24"/>
        </w:rPr>
        <w:t xml:space="preserve">su valor de importación </w:t>
      </w:r>
      <w:r w:rsidR="007260C7">
        <w:rPr>
          <w:rFonts w:ascii="Century Gothic" w:eastAsia="Cambria" w:hAnsi="Century Gothic" w:cs="MyriadPro-Regular"/>
          <w:i/>
          <w:szCs w:val="24"/>
        </w:rPr>
        <w:lastRenderedPageBreak/>
        <w:t>en</w:t>
      </w:r>
      <w:r w:rsidR="00760630" w:rsidRPr="00B07EC9">
        <w:rPr>
          <w:rFonts w:ascii="Century Gothic" w:eastAsia="Cambria" w:hAnsi="Century Gothic" w:cs="MyriadPro-Regular"/>
          <w:i/>
          <w:szCs w:val="24"/>
        </w:rPr>
        <w:t xml:space="preserve"> </w:t>
      </w:r>
      <w:r w:rsidR="007E4D2E" w:rsidRPr="00B07EC9">
        <w:rPr>
          <w:rFonts w:ascii="Century Gothic" w:eastAsia="Cambria" w:hAnsi="Century Gothic" w:cs="MyriadPro-Regular"/>
          <w:i/>
          <w:szCs w:val="24"/>
        </w:rPr>
        <w:t>195%</w:t>
      </w:r>
      <w:r w:rsidR="00F9418A">
        <w:rPr>
          <w:rFonts w:ascii="Century Gothic" w:eastAsia="Cambria" w:hAnsi="Century Gothic" w:cs="MyriadPro-Regular"/>
          <w:i/>
          <w:szCs w:val="24"/>
        </w:rPr>
        <w:t>,</w:t>
      </w:r>
      <w:r w:rsidR="007E4D2E" w:rsidRPr="00B07EC9">
        <w:rPr>
          <w:rFonts w:ascii="Century Gothic" w:eastAsia="Cambria" w:hAnsi="Century Gothic" w:cs="MyriadPro-Regular"/>
          <w:i/>
          <w:szCs w:val="24"/>
        </w:rPr>
        <w:t xml:space="preserve"> y la variación entre lo importado en 2017 respecto</w:t>
      </w:r>
      <w:r w:rsidR="00F9418A">
        <w:rPr>
          <w:rFonts w:ascii="Century Gothic" w:eastAsia="Cambria" w:hAnsi="Century Gothic" w:cs="MyriadPro-Regular"/>
          <w:i/>
          <w:szCs w:val="24"/>
        </w:rPr>
        <w:t xml:space="preserve"> a</w:t>
      </w:r>
      <w:r w:rsidR="007E4D2E" w:rsidRPr="00B07EC9">
        <w:rPr>
          <w:rFonts w:ascii="Century Gothic" w:eastAsia="Cambria" w:hAnsi="Century Gothic" w:cs="MyriadPro-Regular"/>
          <w:i/>
          <w:szCs w:val="24"/>
        </w:rPr>
        <w:t xml:space="preserve"> 2016 </w:t>
      </w:r>
      <w:r w:rsidR="00EB65E3">
        <w:rPr>
          <w:rFonts w:ascii="Century Gothic" w:eastAsia="Cambria" w:hAnsi="Century Gothic" w:cs="MyriadPro-Regular"/>
          <w:i/>
          <w:szCs w:val="24"/>
        </w:rPr>
        <w:t>alcanzó a</w:t>
      </w:r>
      <w:r w:rsidR="007E4D2E" w:rsidRPr="00B07EC9">
        <w:rPr>
          <w:rFonts w:ascii="Century Gothic" w:eastAsia="Cambria" w:hAnsi="Century Gothic" w:cs="MyriadPro-Regular"/>
          <w:i/>
          <w:szCs w:val="24"/>
        </w:rPr>
        <w:t xml:space="preserve"> 13%.</w:t>
      </w:r>
    </w:p>
    <w:p w14:paraId="3612C5CE" w14:textId="77777777" w:rsidR="007E4D2E" w:rsidRDefault="007E4D2E" w:rsidP="007E4D2E">
      <w:pPr>
        <w:jc w:val="center"/>
      </w:pPr>
      <w:r w:rsidRPr="007E4D2E">
        <w:rPr>
          <w:noProof/>
          <w:lang w:val="es-ES_tradnl" w:eastAsia="es-ES_tradnl"/>
        </w:rPr>
        <w:drawing>
          <wp:inline distT="0" distB="0" distL="0" distR="0" wp14:anchorId="0F794F52" wp14:editId="3BE4AD6B">
            <wp:extent cx="4485872" cy="89835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34" cy="9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4D5A" w14:textId="77777777" w:rsidR="00F10EB0" w:rsidRPr="00B07EC9" w:rsidRDefault="00F10EB0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 w:rsidRPr="00B07EC9">
        <w:rPr>
          <w:rFonts w:ascii="Century Gothic" w:eastAsia="Cambria" w:hAnsi="Century Gothic" w:cs="MyriadPro-Regular"/>
          <w:i/>
          <w:szCs w:val="24"/>
        </w:rPr>
        <w:t>La importación de alimentos tiene dos destinos, el consumo en los hogares y el consumo en la industria nacional de alimentos.</w:t>
      </w:r>
    </w:p>
    <w:p w14:paraId="43131D2F" w14:textId="79F7E4C3" w:rsidR="00B07EC9" w:rsidRPr="00B07EC9" w:rsidRDefault="00F10EB0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 w:rsidRPr="00B07EC9">
        <w:rPr>
          <w:rFonts w:ascii="Century Gothic" w:eastAsia="Cambria" w:hAnsi="Century Gothic" w:cs="MyriadPro-Regular"/>
          <w:i/>
          <w:szCs w:val="24"/>
        </w:rPr>
        <w:t>En el primer caso, la importación de alimento</w:t>
      </w:r>
      <w:r w:rsidR="00F9418A">
        <w:rPr>
          <w:rFonts w:ascii="Century Gothic" w:eastAsia="Cambria" w:hAnsi="Century Gothic" w:cs="MyriadPro-Regular"/>
          <w:i/>
          <w:szCs w:val="24"/>
        </w:rPr>
        <w:t>s para el consumo de los hogares</w:t>
      </w:r>
      <w:r w:rsidRPr="00B07EC9">
        <w:rPr>
          <w:rFonts w:ascii="Century Gothic" w:eastAsia="Cambria" w:hAnsi="Century Gothic" w:cs="MyriadPro-Regular"/>
          <w:i/>
          <w:szCs w:val="24"/>
        </w:rPr>
        <w:t xml:space="preserve"> supone que estos productos están cubriendo la demanda insatisfecha que la producción nacional de alimentos no es capaz de producir</w:t>
      </w:r>
      <w:r w:rsidR="00EE6C80">
        <w:rPr>
          <w:rFonts w:ascii="Century Gothic" w:eastAsia="Cambria" w:hAnsi="Century Gothic" w:cs="MyriadPro-Regular"/>
          <w:i/>
          <w:szCs w:val="24"/>
        </w:rPr>
        <w:t>. Entre</w:t>
      </w:r>
      <w:r w:rsidR="00B07EC9" w:rsidRPr="00B07EC9">
        <w:rPr>
          <w:rFonts w:ascii="Century Gothic" w:eastAsia="Cambria" w:hAnsi="Century Gothic" w:cs="MyriadPro-Regular"/>
          <w:i/>
          <w:szCs w:val="24"/>
        </w:rPr>
        <w:t xml:space="preserve"> 2006 </w:t>
      </w:r>
      <w:r w:rsidR="00EE6C80">
        <w:rPr>
          <w:rFonts w:ascii="Century Gothic" w:eastAsia="Cambria" w:hAnsi="Century Gothic" w:cs="MyriadPro-Regular"/>
          <w:i/>
          <w:szCs w:val="24"/>
        </w:rPr>
        <w:t>y</w:t>
      </w:r>
      <w:r w:rsidR="00B07EC9" w:rsidRPr="00B07EC9">
        <w:rPr>
          <w:rFonts w:ascii="Century Gothic" w:eastAsia="Cambria" w:hAnsi="Century Gothic" w:cs="MyriadPro-Regular"/>
          <w:i/>
          <w:szCs w:val="24"/>
        </w:rPr>
        <w:t xml:space="preserve"> 2017, el incremento del valor de importación de estos productos fue de 277%</w:t>
      </w:r>
      <w:r w:rsidRPr="00B07EC9">
        <w:rPr>
          <w:rFonts w:ascii="Century Gothic" w:eastAsia="Cambria" w:hAnsi="Century Gothic" w:cs="MyriadPro-Regular"/>
          <w:i/>
          <w:szCs w:val="24"/>
        </w:rPr>
        <w:t xml:space="preserve">. </w:t>
      </w:r>
    </w:p>
    <w:p w14:paraId="4F536359" w14:textId="511A814D" w:rsidR="00F10EB0" w:rsidRPr="00B07EC9" w:rsidRDefault="00F10EB0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 w:rsidRPr="00B07EC9">
        <w:rPr>
          <w:rFonts w:ascii="Century Gothic" w:eastAsia="Cambria" w:hAnsi="Century Gothic" w:cs="MyriadPro-Regular"/>
          <w:i/>
          <w:szCs w:val="24"/>
        </w:rPr>
        <w:t>En cambio, la importación de alimentos destinados a la industria nacional fortalece a este sector</w:t>
      </w:r>
      <w:r w:rsidR="00741D2E">
        <w:rPr>
          <w:rFonts w:ascii="Century Gothic" w:eastAsia="Cambria" w:hAnsi="Century Gothic" w:cs="MyriadPro-Regular"/>
          <w:i/>
          <w:szCs w:val="24"/>
        </w:rPr>
        <w:t xml:space="preserve"> y</w:t>
      </w:r>
      <w:r w:rsidR="00056AD9">
        <w:rPr>
          <w:rFonts w:ascii="Century Gothic" w:eastAsia="Cambria" w:hAnsi="Century Gothic" w:cs="MyriadPro-Regular"/>
          <w:i/>
          <w:szCs w:val="24"/>
        </w:rPr>
        <w:t xml:space="preserve"> </w:t>
      </w:r>
      <w:r w:rsidR="00EB65E3">
        <w:rPr>
          <w:rFonts w:ascii="Century Gothic" w:eastAsia="Cambria" w:hAnsi="Century Gothic" w:cs="MyriadPro-Regular"/>
          <w:i/>
          <w:szCs w:val="24"/>
        </w:rPr>
        <w:t>a</w:t>
      </w:r>
      <w:r w:rsidR="00741D2E">
        <w:rPr>
          <w:rFonts w:ascii="Century Gothic" w:eastAsia="Cambria" w:hAnsi="Century Gothic" w:cs="MyriadPro-Regular"/>
          <w:i/>
          <w:szCs w:val="24"/>
        </w:rPr>
        <w:t xml:space="preserve"> la producción nacional</w:t>
      </w:r>
      <w:r w:rsidRPr="00B07EC9">
        <w:rPr>
          <w:rFonts w:ascii="Century Gothic" w:eastAsia="Cambria" w:hAnsi="Century Gothic" w:cs="MyriadPro-Regular"/>
          <w:i/>
          <w:szCs w:val="24"/>
        </w:rPr>
        <w:t>, con insumo</w:t>
      </w:r>
      <w:r w:rsidR="00B07EC9" w:rsidRPr="00B07EC9">
        <w:rPr>
          <w:rFonts w:ascii="Century Gothic" w:eastAsia="Cambria" w:hAnsi="Century Gothic" w:cs="MyriadPro-Regular"/>
          <w:i/>
          <w:szCs w:val="24"/>
        </w:rPr>
        <w:t>s que permitirían su desarrollo</w:t>
      </w:r>
      <w:r w:rsidR="00EB65E3">
        <w:rPr>
          <w:rFonts w:ascii="Century Gothic" w:eastAsia="Cambria" w:hAnsi="Century Gothic" w:cs="MyriadPro-Regular"/>
          <w:i/>
          <w:szCs w:val="24"/>
        </w:rPr>
        <w:t>. E</w:t>
      </w:r>
      <w:r w:rsidR="00B07EC9" w:rsidRPr="00B07EC9">
        <w:rPr>
          <w:rFonts w:ascii="Century Gothic" w:eastAsia="Cambria" w:hAnsi="Century Gothic" w:cs="MyriadPro-Regular"/>
          <w:i/>
          <w:szCs w:val="24"/>
        </w:rPr>
        <w:t>ntre 2006 y 2017</w:t>
      </w:r>
      <w:r w:rsidR="00056AD9">
        <w:rPr>
          <w:rFonts w:ascii="Century Gothic" w:eastAsia="Cambria" w:hAnsi="Century Gothic" w:cs="MyriadPro-Regular"/>
          <w:i/>
          <w:szCs w:val="24"/>
        </w:rPr>
        <w:t>,</w:t>
      </w:r>
      <w:r w:rsidR="00B07EC9" w:rsidRPr="00B07EC9">
        <w:rPr>
          <w:rFonts w:ascii="Century Gothic" w:eastAsia="Cambria" w:hAnsi="Century Gothic" w:cs="MyriadPro-Regular"/>
          <w:i/>
          <w:szCs w:val="24"/>
        </w:rPr>
        <w:t xml:space="preserve"> el incremento del valor de los productos pertenecientes a esta división fue de 69%.</w:t>
      </w:r>
    </w:p>
    <w:p w14:paraId="4D172DEA" w14:textId="31D9FA8B" w:rsidR="00F10EB0" w:rsidRPr="00B07EC9" w:rsidRDefault="00EB6701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>
        <w:rPr>
          <w:rFonts w:ascii="Century Gothic" w:eastAsia="Cambria" w:hAnsi="Century Gothic" w:cs="MyriadPro-Regular"/>
          <w:i/>
          <w:szCs w:val="24"/>
        </w:rPr>
        <w:t>E</w:t>
      </w:r>
      <w:r w:rsidR="00F10EB0" w:rsidRPr="00B07EC9">
        <w:rPr>
          <w:rFonts w:ascii="Century Gothic" w:eastAsia="Cambria" w:hAnsi="Century Gothic" w:cs="MyriadPro-Regular"/>
          <w:i/>
          <w:szCs w:val="24"/>
        </w:rPr>
        <w:t xml:space="preserve">n la gestión 2002, </w:t>
      </w:r>
      <w:r w:rsidR="008C59EB">
        <w:rPr>
          <w:rFonts w:ascii="Century Gothic" w:eastAsia="Cambria" w:hAnsi="Century Gothic" w:cs="MyriadPro-Regular"/>
          <w:i/>
          <w:szCs w:val="24"/>
        </w:rPr>
        <w:t xml:space="preserve">del total </w:t>
      </w:r>
      <w:r w:rsidR="00F10EB0" w:rsidRPr="00B07EC9">
        <w:rPr>
          <w:rFonts w:ascii="Century Gothic" w:eastAsia="Cambria" w:hAnsi="Century Gothic" w:cs="MyriadPro-Regular"/>
          <w:i/>
          <w:szCs w:val="24"/>
        </w:rPr>
        <w:t xml:space="preserve">del valor de las importaciones </w:t>
      </w:r>
      <w:r w:rsidR="00F12C28">
        <w:rPr>
          <w:rFonts w:ascii="Century Gothic" w:eastAsia="Cambria" w:hAnsi="Century Gothic" w:cs="MyriadPro-Regular"/>
          <w:i/>
          <w:szCs w:val="24"/>
        </w:rPr>
        <w:t>de alimentos, la participación</w:t>
      </w:r>
      <w:r w:rsidR="00FD71F4">
        <w:rPr>
          <w:rFonts w:ascii="Century Gothic" w:eastAsia="Cambria" w:hAnsi="Century Gothic" w:cs="MyriadPro-Regular"/>
          <w:i/>
          <w:szCs w:val="24"/>
        </w:rPr>
        <w:t xml:space="preserve"> de los destinados</w:t>
      </w:r>
      <w:r w:rsidR="00F12C28">
        <w:rPr>
          <w:rFonts w:ascii="Century Gothic" w:eastAsia="Cambria" w:hAnsi="Century Gothic" w:cs="MyriadPro-Regular"/>
          <w:i/>
          <w:szCs w:val="24"/>
        </w:rPr>
        <w:t xml:space="preserve"> </w:t>
      </w:r>
      <w:r w:rsidR="00F10EB0" w:rsidRPr="00B07EC9">
        <w:rPr>
          <w:rFonts w:ascii="Century Gothic" w:eastAsia="Cambria" w:hAnsi="Century Gothic" w:cs="MyriadPro-Regular"/>
          <w:i/>
          <w:szCs w:val="24"/>
        </w:rPr>
        <w:t xml:space="preserve">a la industria nacional fue de 61%, porcentaje bastante superior a la participación de la importación de alimentos para el consumo en los hogares, cifra que </w:t>
      </w:r>
      <w:r w:rsidR="00F5793F">
        <w:rPr>
          <w:rFonts w:ascii="Century Gothic" w:eastAsia="Cambria" w:hAnsi="Century Gothic" w:cs="MyriadPro-Regular"/>
          <w:i/>
          <w:szCs w:val="24"/>
        </w:rPr>
        <w:t xml:space="preserve">ese año </w:t>
      </w:r>
      <w:r w:rsidR="00F10EB0" w:rsidRPr="00B07EC9">
        <w:rPr>
          <w:rFonts w:ascii="Century Gothic" w:eastAsia="Cambria" w:hAnsi="Century Gothic" w:cs="MyriadPro-Regular"/>
          <w:i/>
          <w:szCs w:val="24"/>
        </w:rPr>
        <w:t>alcanzó a 39%.</w:t>
      </w:r>
    </w:p>
    <w:p w14:paraId="0D494905" w14:textId="77777777" w:rsidR="00F10EB0" w:rsidRPr="00B07EC9" w:rsidRDefault="00F10EB0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 w:rsidRPr="00B07EC9">
        <w:rPr>
          <w:rFonts w:ascii="Century Gothic" w:eastAsia="Cambria" w:hAnsi="Century Gothic" w:cs="MyriadPro-Regular"/>
          <w:i/>
          <w:szCs w:val="24"/>
        </w:rPr>
        <w:t>En la gestión 2006, la participación de ambos destinos fue de 50%, y a partir de ese año el valor de la importación de alimentos para el consumo en los hogares se fue incrementa</w:t>
      </w:r>
      <w:r w:rsidR="00741D2E">
        <w:rPr>
          <w:rFonts w:ascii="Century Gothic" w:eastAsia="Cambria" w:hAnsi="Century Gothic" w:cs="MyriadPro-Regular"/>
          <w:i/>
          <w:szCs w:val="24"/>
        </w:rPr>
        <w:t>n</w:t>
      </w:r>
      <w:r w:rsidRPr="00B07EC9">
        <w:rPr>
          <w:rFonts w:ascii="Century Gothic" w:eastAsia="Cambria" w:hAnsi="Century Gothic" w:cs="MyriadPro-Regular"/>
          <w:i/>
          <w:szCs w:val="24"/>
        </w:rPr>
        <w:t>do hasta llegar a 69% en la gestión 2017.</w:t>
      </w:r>
    </w:p>
    <w:p w14:paraId="4F830494" w14:textId="297BE535" w:rsidR="00F10EB0" w:rsidRPr="00B07EC9" w:rsidRDefault="00F10EB0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 w:rsidRPr="00B07EC9">
        <w:rPr>
          <w:rFonts w:ascii="Century Gothic" w:eastAsia="Cambria" w:hAnsi="Century Gothic" w:cs="MyriadPro-Regular"/>
          <w:i/>
          <w:szCs w:val="24"/>
        </w:rPr>
        <w:t xml:space="preserve">En cambio, desde hace una década que </w:t>
      </w:r>
      <w:r w:rsidR="00741D2E">
        <w:rPr>
          <w:rFonts w:ascii="Century Gothic" w:eastAsia="Cambria" w:hAnsi="Century Gothic" w:cs="MyriadPro-Regular"/>
          <w:i/>
          <w:szCs w:val="24"/>
        </w:rPr>
        <w:t>la participación d</w:t>
      </w:r>
      <w:r w:rsidRPr="00B07EC9">
        <w:rPr>
          <w:rFonts w:ascii="Century Gothic" w:eastAsia="Cambria" w:hAnsi="Century Gothic" w:cs="MyriadPro-Regular"/>
          <w:i/>
          <w:szCs w:val="24"/>
        </w:rPr>
        <w:t xml:space="preserve">el valor de las importaciones de alimentos para la industria nacional, como materia prima para el sector, </w:t>
      </w:r>
      <w:r w:rsidR="006646F5">
        <w:rPr>
          <w:rFonts w:ascii="Century Gothic" w:eastAsia="Cambria" w:hAnsi="Century Gothic" w:cs="MyriadPro-Regular"/>
          <w:i/>
          <w:szCs w:val="24"/>
        </w:rPr>
        <w:t>se fue</w:t>
      </w:r>
      <w:r w:rsidR="00741D2E">
        <w:rPr>
          <w:rFonts w:ascii="Century Gothic" w:eastAsia="Cambria" w:hAnsi="Century Gothic" w:cs="MyriadPro-Regular"/>
          <w:i/>
          <w:szCs w:val="24"/>
        </w:rPr>
        <w:t xml:space="preserve"> reduciendo, </w:t>
      </w:r>
      <w:r w:rsidR="006646F5">
        <w:rPr>
          <w:rFonts w:ascii="Century Gothic" w:eastAsia="Cambria" w:hAnsi="Century Gothic" w:cs="MyriadPro-Regular"/>
          <w:i/>
          <w:szCs w:val="24"/>
        </w:rPr>
        <w:t xml:space="preserve">hasta llegar a 31% durante la gestión </w:t>
      </w:r>
      <w:r w:rsidR="006646F5">
        <w:rPr>
          <w:rFonts w:ascii="Century Gothic" w:eastAsia="Cambria" w:hAnsi="Century Gothic" w:cs="MyriadPro-Regular"/>
          <w:i/>
          <w:szCs w:val="24"/>
        </w:rPr>
        <w:t>anterior</w:t>
      </w:r>
      <w:r w:rsidRPr="00B07EC9">
        <w:rPr>
          <w:rFonts w:ascii="Century Gothic" w:eastAsia="Cambria" w:hAnsi="Century Gothic" w:cs="MyriadPro-Regular"/>
          <w:i/>
          <w:szCs w:val="24"/>
        </w:rPr>
        <w:t>.</w:t>
      </w:r>
    </w:p>
    <w:p w14:paraId="705391B5" w14:textId="6AFB8EB4" w:rsidR="00F10EB0" w:rsidRPr="00B07EC9" w:rsidRDefault="006646F5" w:rsidP="00741D2E">
      <w:pPr>
        <w:spacing w:before="120" w:after="120"/>
        <w:jc w:val="both"/>
        <w:rPr>
          <w:rFonts w:ascii="Century Gothic" w:eastAsia="Cambria" w:hAnsi="Century Gothic" w:cs="MyriadPro-Regular"/>
          <w:i/>
          <w:szCs w:val="24"/>
        </w:rPr>
      </w:pPr>
      <w:r>
        <w:rPr>
          <w:rFonts w:ascii="Century Gothic" w:eastAsia="Cambria" w:hAnsi="Century Gothic" w:cs="MyriadPro-Regular"/>
          <w:i/>
          <w:szCs w:val="24"/>
        </w:rPr>
        <w:t>En</w:t>
      </w:r>
      <w:r w:rsidR="00F10EB0" w:rsidRPr="00B07EC9">
        <w:rPr>
          <w:rFonts w:ascii="Century Gothic" w:eastAsia="Cambria" w:hAnsi="Century Gothic" w:cs="MyriadPro-Regular"/>
          <w:i/>
          <w:szCs w:val="24"/>
        </w:rPr>
        <w:t xml:space="preserve"> el periodo 2002 a 2017 se ha invertido la estructura de participación de las importaciones de alimentos, según el destino de éstos.</w:t>
      </w:r>
    </w:p>
    <w:p w14:paraId="5109B4D4" w14:textId="77777777" w:rsidR="007E4D2E" w:rsidRDefault="00F10EB0" w:rsidP="006F1966">
      <w:pPr>
        <w:jc w:val="center"/>
      </w:pPr>
      <w:r w:rsidRPr="00F10EB0">
        <w:rPr>
          <w:noProof/>
          <w:lang w:val="es-ES_tradnl" w:eastAsia="es-ES_tradnl"/>
        </w:rPr>
        <w:drawing>
          <wp:inline distT="0" distB="0" distL="0" distR="0" wp14:anchorId="4EDDB74A" wp14:editId="49851C94">
            <wp:extent cx="4612025" cy="2219843"/>
            <wp:effectExtent l="0" t="0" r="1079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63" cy="222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9F5D85" w14:textId="32D37E0D" w:rsidR="00F5793F" w:rsidRPr="00F5793F" w:rsidRDefault="00F5793F" w:rsidP="007E4D2E">
      <w:pPr>
        <w:rPr>
          <w:sz w:val="16"/>
          <w:szCs w:val="16"/>
        </w:rPr>
      </w:pPr>
      <w:r w:rsidRPr="00F5793F">
        <w:rPr>
          <w:sz w:val="16"/>
          <w:szCs w:val="16"/>
        </w:rPr>
        <w:t>Febrero 2017</w:t>
      </w:r>
    </w:p>
    <w:sectPr w:rsidR="00F5793F" w:rsidRPr="00F579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2426" w14:textId="77777777" w:rsidR="00503ECA" w:rsidRDefault="00503ECA" w:rsidP="006F1966">
      <w:pPr>
        <w:spacing w:after="0" w:line="240" w:lineRule="auto"/>
      </w:pPr>
      <w:r>
        <w:separator/>
      </w:r>
    </w:p>
  </w:endnote>
  <w:endnote w:type="continuationSeparator" w:id="0">
    <w:p w14:paraId="627D6DFA" w14:textId="77777777" w:rsidR="00503ECA" w:rsidRDefault="00503ECA" w:rsidP="006F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C20DE" w14:textId="77777777" w:rsidR="00503ECA" w:rsidRDefault="00503ECA" w:rsidP="006F1966">
      <w:pPr>
        <w:spacing w:after="0" w:line="240" w:lineRule="auto"/>
      </w:pPr>
      <w:r>
        <w:separator/>
      </w:r>
    </w:p>
  </w:footnote>
  <w:footnote w:type="continuationSeparator" w:id="0">
    <w:p w14:paraId="734036C6" w14:textId="77777777" w:rsidR="00503ECA" w:rsidRDefault="00503ECA" w:rsidP="006F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BD5D" w14:textId="77777777" w:rsidR="006F1966" w:rsidRDefault="006F196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4A8"/>
    <w:multiLevelType w:val="hybridMultilevel"/>
    <w:tmpl w:val="49EC64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56"/>
    <w:rsid w:val="00050469"/>
    <w:rsid w:val="00056AD9"/>
    <w:rsid w:val="00103AFE"/>
    <w:rsid w:val="0016737F"/>
    <w:rsid w:val="0022536C"/>
    <w:rsid w:val="004359B2"/>
    <w:rsid w:val="00477E7F"/>
    <w:rsid w:val="004A5EB5"/>
    <w:rsid w:val="004F3BFF"/>
    <w:rsid w:val="00503ECA"/>
    <w:rsid w:val="006053C3"/>
    <w:rsid w:val="006646F5"/>
    <w:rsid w:val="00671C3A"/>
    <w:rsid w:val="006F1966"/>
    <w:rsid w:val="007151B0"/>
    <w:rsid w:val="007260C7"/>
    <w:rsid w:val="00741D2E"/>
    <w:rsid w:val="00760630"/>
    <w:rsid w:val="00765125"/>
    <w:rsid w:val="007E4D2E"/>
    <w:rsid w:val="008C59EB"/>
    <w:rsid w:val="00A12C9E"/>
    <w:rsid w:val="00A234E6"/>
    <w:rsid w:val="00A830C9"/>
    <w:rsid w:val="00B07EC9"/>
    <w:rsid w:val="00B32494"/>
    <w:rsid w:val="00BB4513"/>
    <w:rsid w:val="00BD5279"/>
    <w:rsid w:val="00CE6AE1"/>
    <w:rsid w:val="00D4297B"/>
    <w:rsid w:val="00D54964"/>
    <w:rsid w:val="00D70F6E"/>
    <w:rsid w:val="00E84221"/>
    <w:rsid w:val="00EB65E3"/>
    <w:rsid w:val="00EB6701"/>
    <w:rsid w:val="00EE6C80"/>
    <w:rsid w:val="00F10EB0"/>
    <w:rsid w:val="00F12C28"/>
    <w:rsid w:val="00F44A07"/>
    <w:rsid w:val="00F5793F"/>
    <w:rsid w:val="00F91985"/>
    <w:rsid w:val="00F93256"/>
    <w:rsid w:val="00F9418A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0E2DF"/>
  <w15:chartTrackingRefBased/>
  <w15:docId w15:val="{A62E634C-0780-42FE-8CF2-32DCA7F7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F93256"/>
    <w:pPr>
      <w:spacing w:after="0" w:line="240" w:lineRule="auto"/>
    </w:pPr>
    <w:rPr>
      <w:rFonts w:ascii="Cambria" w:eastAsia="Cambria" w:hAnsi="Cambr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F1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9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1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4</cp:revision>
  <dcterms:created xsi:type="dcterms:W3CDTF">2018-02-16T16:26:00Z</dcterms:created>
  <dcterms:modified xsi:type="dcterms:W3CDTF">2018-02-16T17:30:00Z</dcterms:modified>
</cp:coreProperties>
</file>