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40C0" w:rsidRPr="008B39AC" w:rsidRDefault="00ED6348" w:rsidP="008740C0">
      <w:pPr>
        <w:jc w:val="center"/>
        <w:rPr>
          <w:rFonts w:ascii="Century Gothic" w:hAnsi="Century Gothic"/>
          <w:b/>
          <w:color w:val="1F497D"/>
          <w:sz w:val="28"/>
        </w:rPr>
      </w:pPr>
      <w:r>
        <w:rPr>
          <w:rFonts w:ascii="Century Gothic" w:hAnsi="Century Gothic"/>
          <w:noProof/>
          <w:sz w:val="12"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2312822</wp:posOffset>
            </wp:positionH>
            <wp:positionV relativeFrom="paragraph">
              <wp:posOffset>-382104</wp:posOffset>
            </wp:positionV>
            <wp:extent cx="950595" cy="567055"/>
            <wp:effectExtent l="0" t="0" r="1905" b="4445"/>
            <wp:wrapNone/>
            <wp:docPr id="5" name="Imagen 4" descr="Logo JUBILE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JUBILEO 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4A7" w:rsidRPr="008363D5" w:rsidRDefault="008363D5" w:rsidP="00CD04A7">
      <w:pPr>
        <w:pStyle w:val="Sinespaciado1"/>
        <w:jc w:val="center"/>
        <w:rPr>
          <w:rFonts w:ascii="Century Gothic" w:hAnsi="Century Gothic"/>
          <w:b/>
          <w:sz w:val="27"/>
          <w:szCs w:val="28"/>
        </w:rPr>
      </w:pPr>
      <w:r w:rsidRPr="008363D5">
        <w:rPr>
          <w:rFonts w:ascii="Century Gothic" w:hAnsi="Century Gothic"/>
          <w:b/>
          <w:sz w:val="27"/>
          <w:szCs w:val="28"/>
        </w:rPr>
        <w:t>LOS ALIMENTOS</w:t>
      </w:r>
      <w:r w:rsidR="00370AF6">
        <w:rPr>
          <w:rFonts w:ascii="Century Gothic" w:hAnsi="Century Gothic"/>
          <w:b/>
          <w:sz w:val="27"/>
          <w:szCs w:val="28"/>
        </w:rPr>
        <w:t xml:space="preserve"> SUBIERON EN </w:t>
      </w:r>
      <w:r w:rsidRPr="008363D5">
        <w:rPr>
          <w:rFonts w:ascii="Century Gothic" w:hAnsi="Century Gothic"/>
          <w:b/>
          <w:sz w:val="27"/>
          <w:szCs w:val="28"/>
        </w:rPr>
        <w:t>1,1%</w:t>
      </w:r>
      <w:r w:rsidR="00370AF6">
        <w:rPr>
          <w:rFonts w:ascii="Century Gothic" w:hAnsi="Century Gothic"/>
          <w:b/>
          <w:sz w:val="27"/>
          <w:szCs w:val="28"/>
        </w:rPr>
        <w:t xml:space="preserve"> EN SEPTIEMBRE</w:t>
      </w:r>
    </w:p>
    <w:p w:rsidR="008740C0" w:rsidRPr="008B39AC" w:rsidRDefault="008E1699" w:rsidP="008740C0">
      <w:pPr>
        <w:pStyle w:val="Sinespaciado1"/>
        <w:jc w:val="center"/>
        <w:rPr>
          <w:rFonts w:ascii="Century Gothic" w:hAnsi="Century Gothic"/>
          <w:b/>
          <w:sz w:val="24"/>
          <w:szCs w:val="28"/>
        </w:rPr>
      </w:pPr>
      <w:r w:rsidRPr="008E1699">
        <w:rPr>
          <w:rFonts w:ascii="Century Gothic" w:hAnsi="Century Gothic" w:cs="MyriadPro-Regular"/>
          <w:i/>
          <w:noProof/>
          <w:szCs w:val="24"/>
          <w:lang w:eastAsia="es-ES"/>
        </w:rPr>
        <w:pict>
          <v:roundrect id="AutoShape 7" o:spid="_x0000_s1026" style="position:absolute;left:0;text-align:left;margin-left:-5.55pt;margin-top:13.4pt;width:460.5pt;height:92.5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" fillcolor="#e6f1ff" strokecolor="#4a7ebb" strokeweight="1.5pt">
            <v:fill opacity="64764f"/>
            <v:shadow on="t" opacity="22938f" offset="0"/>
            <v:textbox inset=",7.2pt,,7.2pt"/>
          </v:roundrect>
        </w:pict>
      </w:r>
    </w:p>
    <w:p w:rsidR="00C85371" w:rsidRPr="00C85371" w:rsidRDefault="001955EA" w:rsidP="00973F02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sz w:val="16"/>
        </w:rPr>
      </w:pPr>
      <w:r w:rsidRPr="00C85371">
        <w:rPr>
          <w:rFonts w:ascii="Century Gothic" w:hAnsi="Century Gothic" w:cs="MyriadPro-Regular"/>
          <w:i/>
          <w:szCs w:val="24"/>
        </w:rPr>
        <w:t>La variación de precios de</w:t>
      </w:r>
      <w:r w:rsidR="00370AF6">
        <w:rPr>
          <w:rFonts w:ascii="Century Gothic" w:hAnsi="Century Gothic" w:cs="MyriadPro-Regular"/>
          <w:i/>
          <w:szCs w:val="24"/>
        </w:rPr>
        <w:t>l conjunto de</w:t>
      </w:r>
      <w:r w:rsidRPr="00C85371">
        <w:rPr>
          <w:rFonts w:ascii="Century Gothic" w:hAnsi="Century Gothic" w:cs="MyriadPro-Regular"/>
          <w:i/>
          <w:szCs w:val="24"/>
        </w:rPr>
        <w:t xml:space="preserve"> </w:t>
      </w:r>
      <w:r w:rsidR="00370AF6">
        <w:rPr>
          <w:rFonts w:ascii="Century Gothic" w:hAnsi="Century Gothic" w:cs="MyriadPro-Regular"/>
          <w:i/>
          <w:szCs w:val="24"/>
        </w:rPr>
        <w:t>bienes y servicios</w:t>
      </w:r>
      <w:r w:rsidRPr="00C85371">
        <w:rPr>
          <w:rFonts w:ascii="Century Gothic" w:hAnsi="Century Gothic" w:cs="MyriadPro-Regular"/>
          <w:i/>
          <w:szCs w:val="24"/>
        </w:rPr>
        <w:t xml:space="preserve"> </w:t>
      </w:r>
      <w:r w:rsidR="00370AF6">
        <w:rPr>
          <w:rFonts w:ascii="Century Gothic" w:hAnsi="Century Gothic" w:cs="MyriadPro-Regular"/>
          <w:i/>
          <w:szCs w:val="24"/>
        </w:rPr>
        <w:t xml:space="preserve">fue de </w:t>
      </w:r>
      <w:r w:rsidRPr="00C85371">
        <w:rPr>
          <w:rFonts w:ascii="Century Gothic" w:hAnsi="Century Gothic" w:cs="MyriadPro-Regular"/>
          <w:i/>
          <w:szCs w:val="24"/>
        </w:rPr>
        <w:t>0,</w:t>
      </w:r>
      <w:r w:rsidR="008363D5" w:rsidRPr="00C85371">
        <w:rPr>
          <w:rFonts w:ascii="Century Gothic" w:hAnsi="Century Gothic" w:cs="MyriadPro-Regular"/>
          <w:i/>
          <w:szCs w:val="24"/>
        </w:rPr>
        <w:t>45</w:t>
      </w:r>
      <w:r w:rsidRPr="00C85371">
        <w:rPr>
          <w:rFonts w:ascii="Century Gothic" w:hAnsi="Century Gothic" w:cs="MyriadPro-Regular"/>
          <w:i/>
          <w:szCs w:val="24"/>
        </w:rPr>
        <w:t>%</w:t>
      </w:r>
      <w:r w:rsidR="00370AF6">
        <w:rPr>
          <w:rFonts w:ascii="Century Gothic" w:hAnsi="Century Gothic" w:cs="MyriadPro-Regular"/>
          <w:i/>
          <w:szCs w:val="24"/>
        </w:rPr>
        <w:t xml:space="preserve"> durante el último mes</w:t>
      </w:r>
      <w:r w:rsidRPr="00C85371">
        <w:rPr>
          <w:rFonts w:ascii="Century Gothic" w:hAnsi="Century Gothic" w:cs="MyriadPro-Regular"/>
          <w:i/>
          <w:szCs w:val="24"/>
        </w:rPr>
        <w:t>.</w:t>
      </w:r>
    </w:p>
    <w:p w:rsidR="00C85371" w:rsidRPr="00C85371" w:rsidRDefault="00370AF6" w:rsidP="00C85371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entury Gothic" w:hAnsi="Century Gothic" w:cs="MyriadPro-Regular"/>
          <w:sz w:val="16"/>
        </w:rPr>
      </w:pPr>
      <w:r>
        <w:rPr>
          <w:rFonts w:ascii="Century Gothic" w:hAnsi="Century Gothic" w:cs="MyriadPro-Regular"/>
          <w:i/>
          <w:szCs w:val="24"/>
        </w:rPr>
        <w:t>Un i</w:t>
      </w:r>
      <w:r w:rsidRPr="00C85371">
        <w:rPr>
          <w:rFonts w:ascii="Century Gothic" w:hAnsi="Century Gothic" w:cs="MyriadPro-Regular"/>
          <w:i/>
          <w:szCs w:val="24"/>
        </w:rPr>
        <w:t>ncremento de precios de alimentos superiores al promedio nacional</w:t>
      </w:r>
      <w:r>
        <w:rPr>
          <w:rFonts w:ascii="Century Gothic" w:hAnsi="Century Gothic" w:cs="MyriadPro-Regular"/>
          <w:i/>
          <w:szCs w:val="24"/>
        </w:rPr>
        <w:t xml:space="preserve"> se registró entre enero y septiembre en </w:t>
      </w:r>
      <w:r w:rsidR="00C85371" w:rsidRPr="00C85371">
        <w:rPr>
          <w:rFonts w:ascii="Century Gothic" w:hAnsi="Century Gothic" w:cs="MyriadPro-Regular"/>
          <w:i/>
          <w:szCs w:val="24"/>
        </w:rPr>
        <w:t>Cochabamba</w:t>
      </w:r>
      <w:r>
        <w:rPr>
          <w:rFonts w:ascii="Century Gothic" w:hAnsi="Century Gothic" w:cs="MyriadPro-Regular"/>
          <w:i/>
          <w:szCs w:val="24"/>
        </w:rPr>
        <w:t>, 9,9%;</w:t>
      </w:r>
      <w:r w:rsidR="00C85371" w:rsidRPr="00C85371">
        <w:rPr>
          <w:rFonts w:ascii="Century Gothic" w:hAnsi="Century Gothic" w:cs="MyriadPro-Regular"/>
          <w:i/>
          <w:szCs w:val="24"/>
        </w:rPr>
        <w:t xml:space="preserve"> Sucre</w:t>
      </w:r>
      <w:r>
        <w:rPr>
          <w:rFonts w:ascii="Century Gothic" w:hAnsi="Century Gothic" w:cs="MyriadPro-Regular"/>
          <w:i/>
          <w:szCs w:val="24"/>
        </w:rPr>
        <w:t>, 8,4%;</w:t>
      </w:r>
      <w:r w:rsidR="00C85371" w:rsidRPr="00C85371">
        <w:rPr>
          <w:rFonts w:ascii="Century Gothic" w:hAnsi="Century Gothic" w:cs="MyriadPro-Regular"/>
          <w:i/>
          <w:szCs w:val="24"/>
        </w:rPr>
        <w:t xml:space="preserve"> Potosí</w:t>
      </w:r>
      <w:r>
        <w:rPr>
          <w:rFonts w:ascii="Century Gothic" w:hAnsi="Century Gothic" w:cs="MyriadPro-Regular"/>
          <w:i/>
          <w:szCs w:val="24"/>
        </w:rPr>
        <w:t>,</w:t>
      </w:r>
      <w:r w:rsidR="00C85371" w:rsidRPr="00C85371">
        <w:rPr>
          <w:rFonts w:ascii="Century Gothic" w:hAnsi="Century Gothic" w:cs="MyriadPro-Regular"/>
          <w:i/>
          <w:szCs w:val="24"/>
        </w:rPr>
        <w:t xml:space="preserve"> 7,8% y Tarija</w:t>
      </w:r>
      <w:r>
        <w:rPr>
          <w:rFonts w:ascii="Century Gothic" w:hAnsi="Century Gothic" w:cs="MyriadPro-Regular"/>
          <w:i/>
          <w:szCs w:val="24"/>
        </w:rPr>
        <w:t>,</w:t>
      </w:r>
      <w:r w:rsidR="00C87CB9">
        <w:rPr>
          <w:rFonts w:ascii="Century Gothic" w:hAnsi="Century Gothic" w:cs="MyriadPro-Regular"/>
          <w:i/>
          <w:szCs w:val="24"/>
        </w:rPr>
        <w:t xml:space="preserve"> 6,4%.</w:t>
      </w:r>
      <w:r w:rsidR="00C85371" w:rsidRPr="00C85371">
        <w:rPr>
          <w:rFonts w:ascii="Century Gothic" w:hAnsi="Century Gothic" w:cs="MyriadPro-Regular"/>
          <w:i/>
          <w:szCs w:val="24"/>
        </w:rPr>
        <w:t xml:space="preserve"> </w:t>
      </w:r>
    </w:p>
    <w:p w:rsidR="006A1873" w:rsidRDefault="006A1873" w:rsidP="008740C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</w:p>
    <w:p w:rsidR="000706AD" w:rsidRDefault="006612E3" w:rsidP="008740C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Lo</w:t>
      </w:r>
      <w:r w:rsidR="008740C0">
        <w:rPr>
          <w:rFonts w:ascii="Century Gothic" w:hAnsi="Century Gothic" w:cs="MyriadPro-Regular"/>
        </w:rPr>
        <w:t xml:space="preserve">s precios de los alimentos </w:t>
      </w:r>
      <w:r w:rsidR="00B17C99">
        <w:rPr>
          <w:rFonts w:ascii="Century Gothic" w:hAnsi="Century Gothic" w:cs="MyriadPro-Regular"/>
        </w:rPr>
        <w:t xml:space="preserve">y bebidas </w:t>
      </w:r>
      <w:r w:rsidR="001955EA">
        <w:rPr>
          <w:rFonts w:ascii="Century Gothic" w:hAnsi="Century Gothic" w:cs="MyriadPro-Regular"/>
        </w:rPr>
        <w:t>para ser consumidos en el hogar</w:t>
      </w:r>
      <w:r w:rsidR="005C2F74">
        <w:rPr>
          <w:rFonts w:ascii="Century Gothic" w:hAnsi="Century Gothic" w:cs="MyriadPro-Regular"/>
        </w:rPr>
        <w:t xml:space="preserve"> </w:t>
      </w:r>
      <w:r w:rsidR="00CD04A7">
        <w:rPr>
          <w:rFonts w:ascii="Century Gothic" w:hAnsi="Century Gothic" w:cs="MyriadPro-Regular"/>
        </w:rPr>
        <w:t xml:space="preserve">se </w:t>
      </w:r>
      <w:r>
        <w:rPr>
          <w:rFonts w:ascii="Century Gothic" w:hAnsi="Century Gothic" w:cs="MyriadPro-Regular"/>
        </w:rPr>
        <w:t xml:space="preserve">incrementaron </w:t>
      </w:r>
      <w:r w:rsidR="000706AD">
        <w:rPr>
          <w:rFonts w:ascii="Century Gothic" w:hAnsi="Century Gothic" w:cs="MyriadPro-Regular"/>
        </w:rPr>
        <w:t xml:space="preserve">en </w:t>
      </w:r>
      <w:r w:rsidR="006A1873">
        <w:rPr>
          <w:rFonts w:ascii="Century Gothic" w:hAnsi="Century Gothic" w:cs="MyriadPro-Regular"/>
        </w:rPr>
        <w:t>1,1</w:t>
      </w:r>
      <w:r w:rsidR="000706AD">
        <w:rPr>
          <w:rFonts w:ascii="Century Gothic" w:hAnsi="Century Gothic" w:cs="MyriadPro-Regular"/>
        </w:rPr>
        <w:t xml:space="preserve">%, </w:t>
      </w:r>
      <w:r>
        <w:rPr>
          <w:rFonts w:ascii="Century Gothic" w:hAnsi="Century Gothic" w:cs="MyriadPro-Regular"/>
        </w:rPr>
        <w:t xml:space="preserve">durante </w:t>
      </w:r>
      <w:r w:rsidR="00572240">
        <w:rPr>
          <w:rFonts w:ascii="Century Gothic" w:hAnsi="Century Gothic" w:cs="MyriadPro-Regular"/>
        </w:rPr>
        <w:t>septiembre</w:t>
      </w:r>
      <w:r>
        <w:rPr>
          <w:rFonts w:ascii="Century Gothic" w:hAnsi="Century Gothic" w:cs="MyriadPro-Regular"/>
        </w:rPr>
        <w:t xml:space="preserve"> de 201</w:t>
      </w:r>
      <w:r w:rsidR="00DF7A82">
        <w:rPr>
          <w:rFonts w:ascii="Century Gothic" w:hAnsi="Century Gothic" w:cs="MyriadPro-Regular"/>
        </w:rPr>
        <w:t>6</w:t>
      </w:r>
      <w:r>
        <w:rPr>
          <w:rFonts w:ascii="Century Gothic" w:hAnsi="Century Gothic" w:cs="MyriadPro-Regular"/>
        </w:rPr>
        <w:t xml:space="preserve">, </w:t>
      </w:r>
      <w:r w:rsidR="008740C0">
        <w:rPr>
          <w:rFonts w:ascii="Century Gothic" w:hAnsi="Century Gothic" w:cs="MyriadPro-Regular"/>
        </w:rPr>
        <w:t xml:space="preserve">en comparación al mes anterior. </w:t>
      </w:r>
    </w:p>
    <w:p w:rsidR="003F6E94" w:rsidRDefault="003F6E94" w:rsidP="008740C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E</w:t>
      </w:r>
      <w:r w:rsidR="006A1873">
        <w:rPr>
          <w:rFonts w:ascii="Century Gothic" w:hAnsi="Century Gothic" w:cs="MyriadPro-Regular"/>
        </w:rPr>
        <w:t xml:space="preserve">n los tres meses anteriores la tendencia había sido hacia la baja, pero en septiembre se </w:t>
      </w:r>
      <w:r>
        <w:rPr>
          <w:rFonts w:ascii="Century Gothic" w:hAnsi="Century Gothic" w:cs="MyriadPro-Regular"/>
        </w:rPr>
        <w:t>produ</w:t>
      </w:r>
      <w:r w:rsidR="006A1873">
        <w:rPr>
          <w:rFonts w:ascii="Century Gothic" w:hAnsi="Century Gothic" w:cs="MyriadPro-Regular"/>
        </w:rPr>
        <w:t>jo</w:t>
      </w:r>
      <w:r>
        <w:rPr>
          <w:rFonts w:ascii="Century Gothic" w:hAnsi="Century Gothic" w:cs="MyriadPro-Regular"/>
        </w:rPr>
        <w:t xml:space="preserve"> </w:t>
      </w:r>
      <w:r w:rsidR="006A1873">
        <w:rPr>
          <w:rFonts w:ascii="Century Gothic" w:hAnsi="Century Gothic" w:cs="MyriadPro-Regular"/>
        </w:rPr>
        <w:t>este incremento.</w:t>
      </w:r>
    </w:p>
    <w:p w:rsidR="00E0662C" w:rsidRDefault="008740C0" w:rsidP="008740C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E</w:t>
      </w:r>
      <w:r w:rsidR="006A1873">
        <w:rPr>
          <w:rFonts w:ascii="Century Gothic" w:hAnsi="Century Gothic" w:cs="MyriadPro-Regular"/>
        </w:rPr>
        <w:t xml:space="preserve">l anterior antecedente de incremento de precios de alimentos </w:t>
      </w:r>
      <w:r w:rsidR="00DF7A82">
        <w:rPr>
          <w:rFonts w:ascii="Century Gothic" w:hAnsi="Century Gothic" w:cs="MyriadPro-Regular"/>
        </w:rPr>
        <w:t>d</w:t>
      </w:r>
      <w:r w:rsidR="006A1873">
        <w:rPr>
          <w:rFonts w:ascii="Century Gothic" w:hAnsi="Century Gothic" w:cs="MyriadPro-Regular"/>
        </w:rPr>
        <w:t>urante</w:t>
      </w:r>
      <w:r w:rsidR="00DF7A82">
        <w:rPr>
          <w:rFonts w:ascii="Century Gothic" w:hAnsi="Century Gothic" w:cs="MyriadPro-Regular"/>
        </w:rPr>
        <w:t xml:space="preserve"> la presente gestión </w:t>
      </w:r>
      <w:r w:rsidR="006A1873">
        <w:rPr>
          <w:rFonts w:ascii="Century Gothic" w:hAnsi="Century Gothic" w:cs="MyriadPro-Regular"/>
        </w:rPr>
        <w:t xml:space="preserve">se registró en mayo, cuando alcanzó a </w:t>
      </w:r>
      <w:r w:rsidR="00DF7A82">
        <w:rPr>
          <w:rFonts w:ascii="Century Gothic" w:hAnsi="Century Gothic" w:cs="MyriadPro-Regular"/>
        </w:rPr>
        <w:t>3,54%</w:t>
      </w:r>
      <w:r w:rsidR="0010758C">
        <w:rPr>
          <w:rFonts w:ascii="Century Gothic" w:hAnsi="Century Gothic" w:cs="MyriadPro-Regular"/>
        </w:rPr>
        <w:t>.</w:t>
      </w:r>
    </w:p>
    <w:p w:rsidR="008740C0" w:rsidRDefault="00E0662C" w:rsidP="008740C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 xml:space="preserve">La variación del precio de los alimentos de </w:t>
      </w:r>
      <w:r w:rsidR="00DF7A82">
        <w:rPr>
          <w:rFonts w:ascii="Century Gothic" w:hAnsi="Century Gothic" w:cs="MyriadPro-Regular"/>
        </w:rPr>
        <w:t>1</w:t>
      </w:r>
      <w:r>
        <w:rPr>
          <w:rFonts w:ascii="Century Gothic" w:hAnsi="Century Gothic" w:cs="MyriadPro-Regular"/>
        </w:rPr>
        <w:t>,</w:t>
      </w:r>
      <w:r w:rsidR="006A1873">
        <w:rPr>
          <w:rFonts w:ascii="Century Gothic" w:hAnsi="Century Gothic" w:cs="MyriadPro-Regular"/>
        </w:rPr>
        <w:t>1</w:t>
      </w:r>
      <w:r>
        <w:rPr>
          <w:rFonts w:ascii="Century Gothic" w:hAnsi="Century Gothic" w:cs="MyriadPro-Regular"/>
        </w:rPr>
        <w:t>% es mayor a la variación del nivel general de precios de bienes y servicios que alcanzó a 0,</w:t>
      </w:r>
      <w:r w:rsidR="00DF7A82">
        <w:rPr>
          <w:rFonts w:ascii="Century Gothic" w:hAnsi="Century Gothic" w:cs="MyriadPro-Regular"/>
        </w:rPr>
        <w:t>45</w:t>
      </w:r>
      <w:r>
        <w:rPr>
          <w:rFonts w:ascii="Century Gothic" w:hAnsi="Century Gothic" w:cs="MyriadPro-Regular"/>
        </w:rPr>
        <w:t>%, durante ese mes.</w:t>
      </w:r>
    </w:p>
    <w:p w:rsidR="00DF7A82" w:rsidRDefault="008363D5" w:rsidP="008740C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 w:rsidRPr="008363D5">
        <w:rPr>
          <w:noProof/>
          <w:lang w:val="es-ES_tradnl" w:eastAsia="es-ES_tradnl"/>
        </w:rPr>
        <w:drawing>
          <wp:inline distT="0" distB="0" distL="0" distR="0">
            <wp:extent cx="5612130" cy="2831188"/>
            <wp:effectExtent l="0" t="0" r="762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82" w:rsidRPr="00C87CB9" w:rsidRDefault="00DF7A82" w:rsidP="00DF7A82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 xml:space="preserve">Entre enero y </w:t>
      </w:r>
      <w:r w:rsidR="00572240">
        <w:rPr>
          <w:rFonts w:ascii="Century Gothic" w:hAnsi="Century Gothic" w:cs="MyriadPro-Regular"/>
        </w:rPr>
        <w:t>septiembre</w:t>
      </w:r>
      <w:r>
        <w:rPr>
          <w:rFonts w:ascii="Century Gothic" w:hAnsi="Century Gothic" w:cs="MyriadPro-Regular"/>
        </w:rPr>
        <w:t xml:space="preserve">, la variación acumulada del precio de los alimentos y bebidas llegó a 5,38%, mayor a la variación acumulada del conjunto de bienes y </w:t>
      </w:r>
      <w:r w:rsidRPr="00C87CB9">
        <w:rPr>
          <w:rFonts w:ascii="Century Gothic" w:hAnsi="Century Gothic" w:cs="MyriadPro-Regular"/>
        </w:rPr>
        <w:t xml:space="preserve">servicios que hasta </w:t>
      </w:r>
      <w:r w:rsidR="00C87CB9" w:rsidRPr="00C87CB9">
        <w:rPr>
          <w:rFonts w:ascii="Century Gothic" w:hAnsi="Century Gothic" w:cs="MyriadPro-Regular"/>
        </w:rPr>
        <w:t>septiembre</w:t>
      </w:r>
      <w:r w:rsidRPr="00C87CB9">
        <w:rPr>
          <w:rFonts w:ascii="Century Gothic" w:hAnsi="Century Gothic" w:cs="MyriadPro-Regular"/>
        </w:rPr>
        <w:t xml:space="preserve"> alcanzó a 2,90%.</w:t>
      </w:r>
    </w:p>
    <w:p w:rsidR="007541E6" w:rsidRPr="00C87CB9" w:rsidRDefault="007541E6" w:rsidP="007B1AD2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 w:rsidRPr="00C87CB9">
        <w:rPr>
          <w:rFonts w:ascii="Century Gothic" w:hAnsi="Century Gothic" w:cs="MyriadPro-Regular"/>
        </w:rPr>
        <w:t>Transcurridos nueve meses de esta gestión, la variación acumulada del Índice de Precios al Consumidor de alimentos consumidos en el hogar pasó</w:t>
      </w:r>
      <w:r w:rsidR="007B1AD2" w:rsidRPr="00C87CB9">
        <w:rPr>
          <w:rFonts w:ascii="Century Gothic" w:hAnsi="Century Gothic" w:cs="MyriadPro-Regular"/>
        </w:rPr>
        <w:t xml:space="preserve"> la meta </w:t>
      </w:r>
      <w:r w:rsidR="00965EAF" w:rsidRPr="00C87CB9">
        <w:rPr>
          <w:rFonts w:ascii="Century Gothic" w:hAnsi="Century Gothic" w:cs="MyriadPro-Regular"/>
        </w:rPr>
        <w:t xml:space="preserve">de la inflación general </w:t>
      </w:r>
      <w:r w:rsidR="007B1AD2" w:rsidRPr="00C87CB9">
        <w:rPr>
          <w:rFonts w:ascii="Century Gothic" w:hAnsi="Century Gothic" w:cs="MyriadPro-Regular"/>
        </w:rPr>
        <w:t xml:space="preserve">fijada por el Gobierno para la gestión 2016. </w:t>
      </w:r>
    </w:p>
    <w:p w:rsidR="007B1AD2" w:rsidRDefault="007B1AD2" w:rsidP="00C87CB9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En cambio</w:t>
      </w:r>
      <w:r w:rsidR="007541E6">
        <w:rPr>
          <w:rFonts w:ascii="Century Gothic" w:hAnsi="Century Gothic" w:cs="MyriadPro-Regular"/>
        </w:rPr>
        <w:t>,</w:t>
      </w:r>
      <w:r>
        <w:rPr>
          <w:rFonts w:ascii="Century Gothic" w:hAnsi="Century Gothic" w:cs="MyriadPro-Regular"/>
        </w:rPr>
        <w:t xml:space="preserve"> el IPC </w:t>
      </w:r>
      <w:r w:rsidR="007541E6">
        <w:rPr>
          <w:rFonts w:ascii="Century Gothic" w:hAnsi="Century Gothic" w:cs="MyriadPro-Regular"/>
        </w:rPr>
        <w:t>del conjunto de bienes y servicios</w:t>
      </w:r>
      <w:r>
        <w:rPr>
          <w:rFonts w:ascii="Century Gothic" w:hAnsi="Century Gothic" w:cs="MyriadPro-Regular"/>
        </w:rPr>
        <w:t xml:space="preserve"> estaría por debajo en casi 2 puntos porcentuales.</w:t>
      </w:r>
    </w:p>
    <w:p w:rsidR="00DF7A82" w:rsidRDefault="00C87CB9" w:rsidP="00C87CB9">
      <w:pPr>
        <w:pStyle w:val="Sinespaciado1"/>
        <w:spacing w:before="120" w:after="120"/>
        <w:jc w:val="center"/>
        <w:rPr>
          <w:rFonts w:ascii="Century Gothic" w:hAnsi="Century Gothic" w:cs="MyriadPro-Regular"/>
        </w:rPr>
      </w:pPr>
      <w:r w:rsidRPr="00C87CB9">
        <w:rPr>
          <w:rFonts w:ascii="Century Gothic" w:hAnsi="Century Gothic" w:cs="MyriadPro-Regular"/>
        </w:rPr>
        <w:drawing>
          <wp:inline distT="0" distB="0" distL="0" distR="0">
            <wp:extent cx="3980815" cy="2012607"/>
            <wp:effectExtent l="25400" t="0" r="6985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254" cy="20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D2" w:rsidRDefault="00572240" w:rsidP="0057224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 w:rsidRPr="00572240">
        <w:rPr>
          <w:rFonts w:ascii="Century Gothic" w:hAnsi="Century Gothic" w:cs="MyriadPro-Regular"/>
        </w:rPr>
        <w:t xml:space="preserve">Respecto de las ciudades investigadas por el IPC, en </w:t>
      </w:r>
      <w:r>
        <w:rPr>
          <w:rFonts w:ascii="Century Gothic" w:hAnsi="Century Gothic" w:cs="MyriadPro-Regular"/>
        </w:rPr>
        <w:t>septiembre</w:t>
      </w:r>
      <w:r w:rsidRPr="00572240">
        <w:rPr>
          <w:rFonts w:ascii="Century Gothic" w:hAnsi="Century Gothic" w:cs="MyriadPro-Regular"/>
        </w:rPr>
        <w:t xml:space="preserve"> </w:t>
      </w:r>
      <w:r w:rsidR="00C87CB9">
        <w:rPr>
          <w:rFonts w:ascii="Century Gothic" w:hAnsi="Century Gothic" w:cs="MyriadPro-Regular"/>
        </w:rPr>
        <w:t>en comparación</w:t>
      </w:r>
      <w:r w:rsidRPr="00572240">
        <w:rPr>
          <w:rFonts w:ascii="Century Gothic" w:hAnsi="Century Gothic" w:cs="MyriadPro-Regular"/>
        </w:rPr>
        <w:t xml:space="preserve"> a </w:t>
      </w:r>
      <w:r>
        <w:rPr>
          <w:rFonts w:ascii="Century Gothic" w:hAnsi="Century Gothic" w:cs="MyriadPro-Regular"/>
        </w:rPr>
        <w:t>agosto</w:t>
      </w:r>
      <w:r w:rsidR="00965EAF">
        <w:rPr>
          <w:rFonts w:ascii="Century Gothic" w:hAnsi="Century Gothic" w:cs="MyriadPro-Regular"/>
        </w:rPr>
        <w:t>,</w:t>
      </w:r>
      <w:r w:rsidRPr="00572240">
        <w:rPr>
          <w:rFonts w:ascii="Century Gothic" w:hAnsi="Century Gothic" w:cs="MyriadPro-Regular"/>
        </w:rPr>
        <w:t xml:space="preserve"> los precios de los alimentos y bebidas consumidos en el hogar se habrían reducido en </w:t>
      </w:r>
      <w:r>
        <w:rPr>
          <w:rFonts w:ascii="Century Gothic" w:hAnsi="Century Gothic" w:cs="MyriadPro-Regular"/>
        </w:rPr>
        <w:t xml:space="preserve">dos </w:t>
      </w:r>
      <w:r w:rsidRPr="00572240">
        <w:rPr>
          <w:rFonts w:ascii="Century Gothic" w:hAnsi="Century Gothic" w:cs="MyriadPro-Regular"/>
        </w:rPr>
        <w:t>ciudades: Trinidad</w:t>
      </w:r>
      <w:r>
        <w:rPr>
          <w:rFonts w:ascii="Century Gothic" w:hAnsi="Century Gothic" w:cs="MyriadPro-Regular"/>
        </w:rPr>
        <w:t xml:space="preserve"> -0</w:t>
      </w:r>
      <w:r w:rsidR="00965EAF">
        <w:rPr>
          <w:rFonts w:ascii="Century Gothic" w:hAnsi="Century Gothic" w:cs="MyriadPro-Regular"/>
        </w:rPr>
        <w:t>,</w:t>
      </w:r>
      <w:r>
        <w:rPr>
          <w:rFonts w:ascii="Century Gothic" w:hAnsi="Century Gothic" w:cs="MyriadPro-Regular"/>
        </w:rPr>
        <w:t>34% y Oruro -0,16%. En las demás ciudades</w:t>
      </w:r>
      <w:r w:rsidR="00965EAF">
        <w:rPr>
          <w:rFonts w:ascii="Century Gothic" w:hAnsi="Century Gothic" w:cs="MyriadPro-Regular"/>
        </w:rPr>
        <w:t>, en promedio,</w:t>
      </w:r>
      <w:r>
        <w:rPr>
          <w:rFonts w:ascii="Century Gothic" w:hAnsi="Century Gothic" w:cs="MyriadPro-Regular"/>
        </w:rPr>
        <w:t xml:space="preserve"> los precios de los alimentos </w:t>
      </w:r>
      <w:r w:rsidR="00965EAF">
        <w:rPr>
          <w:rFonts w:ascii="Century Gothic" w:hAnsi="Century Gothic" w:cs="MyriadPro-Regular"/>
        </w:rPr>
        <w:t>se incrementaron</w:t>
      </w:r>
      <w:r w:rsidR="00C87CB9">
        <w:rPr>
          <w:rFonts w:ascii="Century Gothic" w:hAnsi="Century Gothic" w:cs="MyriadPro-Regular"/>
        </w:rPr>
        <w:t>, como el caso de</w:t>
      </w:r>
      <w:r>
        <w:rPr>
          <w:rFonts w:ascii="Century Gothic" w:hAnsi="Century Gothic" w:cs="MyriadPro-Regular"/>
        </w:rPr>
        <w:t xml:space="preserve"> Cochabamba y Sucre</w:t>
      </w:r>
      <w:r w:rsidR="00965EAF">
        <w:rPr>
          <w:rFonts w:ascii="Century Gothic" w:hAnsi="Century Gothic" w:cs="MyriadPro-Regular"/>
        </w:rPr>
        <w:t xml:space="preserve">, con </w:t>
      </w:r>
      <w:r>
        <w:rPr>
          <w:rFonts w:ascii="Century Gothic" w:hAnsi="Century Gothic" w:cs="MyriadPro-Regular"/>
        </w:rPr>
        <w:t>ta</w:t>
      </w:r>
      <w:r w:rsidR="00965EAF">
        <w:rPr>
          <w:rFonts w:ascii="Century Gothic" w:hAnsi="Century Gothic" w:cs="MyriadPro-Regular"/>
        </w:rPr>
        <w:t>sas superiores a</w:t>
      </w:r>
      <w:r>
        <w:rPr>
          <w:rFonts w:ascii="Century Gothic" w:hAnsi="Century Gothic" w:cs="MyriadPro-Regular"/>
        </w:rPr>
        <w:t xml:space="preserve"> 2%.</w:t>
      </w:r>
    </w:p>
    <w:p w:rsidR="00572240" w:rsidRPr="00572240" w:rsidRDefault="00572240" w:rsidP="0057224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 w:rsidRPr="00572240">
        <w:rPr>
          <w:rFonts w:ascii="Century Gothic" w:hAnsi="Century Gothic" w:cs="MyriadPro-Regular"/>
        </w:rPr>
        <w:t xml:space="preserve">Hasta </w:t>
      </w:r>
      <w:r>
        <w:rPr>
          <w:rFonts w:ascii="Century Gothic" w:hAnsi="Century Gothic" w:cs="MyriadPro-Regular"/>
        </w:rPr>
        <w:t>septiembre</w:t>
      </w:r>
      <w:r w:rsidRPr="00572240">
        <w:rPr>
          <w:rFonts w:ascii="Century Gothic" w:hAnsi="Century Gothic" w:cs="MyriadPro-Regular"/>
        </w:rPr>
        <w:t>, hay ciudades que en el acumulado tienen tasas superiores al promedio nacional: Cochabamba</w:t>
      </w:r>
      <w:r w:rsidR="00965EAF">
        <w:rPr>
          <w:rFonts w:ascii="Century Gothic" w:hAnsi="Century Gothic" w:cs="MyriadPro-Regular"/>
        </w:rPr>
        <w:t>,</w:t>
      </w:r>
      <w:r w:rsidRPr="00572240">
        <w:rPr>
          <w:rFonts w:ascii="Century Gothic" w:hAnsi="Century Gothic" w:cs="MyriadPro-Regular"/>
        </w:rPr>
        <w:t xml:space="preserve"> </w:t>
      </w:r>
      <w:r>
        <w:rPr>
          <w:rFonts w:ascii="Century Gothic" w:hAnsi="Century Gothic" w:cs="MyriadPro-Regular"/>
        </w:rPr>
        <w:t>9</w:t>
      </w:r>
      <w:r w:rsidR="00965EAF">
        <w:rPr>
          <w:rFonts w:ascii="Century Gothic" w:hAnsi="Century Gothic" w:cs="MyriadPro-Regular"/>
        </w:rPr>
        <w:t>,9%;</w:t>
      </w:r>
      <w:r w:rsidRPr="00572240">
        <w:rPr>
          <w:rFonts w:ascii="Century Gothic" w:hAnsi="Century Gothic" w:cs="MyriadPro-Regular"/>
        </w:rPr>
        <w:t xml:space="preserve"> Sucre</w:t>
      </w:r>
      <w:r w:rsidR="00965EAF">
        <w:rPr>
          <w:rFonts w:ascii="Century Gothic" w:hAnsi="Century Gothic" w:cs="MyriadPro-Regular"/>
        </w:rPr>
        <w:t>,</w:t>
      </w:r>
      <w:r w:rsidRPr="00572240">
        <w:rPr>
          <w:rFonts w:ascii="Century Gothic" w:hAnsi="Century Gothic" w:cs="MyriadPro-Regular"/>
        </w:rPr>
        <w:t xml:space="preserve"> </w:t>
      </w:r>
      <w:r>
        <w:rPr>
          <w:rFonts w:ascii="Century Gothic" w:hAnsi="Century Gothic" w:cs="MyriadPro-Regular"/>
        </w:rPr>
        <w:t>8</w:t>
      </w:r>
      <w:r w:rsidRPr="00572240">
        <w:rPr>
          <w:rFonts w:ascii="Century Gothic" w:hAnsi="Century Gothic" w:cs="MyriadPro-Regular"/>
        </w:rPr>
        <w:t>,</w:t>
      </w:r>
      <w:r>
        <w:rPr>
          <w:rFonts w:ascii="Century Gothic" w:hAnsi="Century Gothic" w:cs="MyriadPro-Regular"/>
        </w:rPr>
        <w:t>4</w:t>
      </w:r>
      <w:r w:rsidRPr="00572240">
        <w:rPr>
          <w:rFonts w:ascii="Century Gothic" w:hAnsi="Century Gothic" w:cs="MyriadPro-Regular"/>
        </w:rPr>
        <w:t>%</w:t>
      </w:r>
      <w:r w:rsidR="00965EAF">
        <w:rPr>
          <w:rFonts w:ascii="Century Gothic" w:hAnsi="Century Gothic" w:cs="MyriadPro-Regular"/>
        </w:rPr>
        <w:t>;</w:t>
      </w:r>
      <w:r w:rsidRPr="00572240">
        <w:rPr>
          <w:rFonts w:ascii="Century Gothic" w:hAnsi="Century Gothic" w:cs="MyriadPro-Regular"/>
        </w:rPr>
        <w:t xml:space="preserve"> Potosí</w:t>
      </w:r>
      <w:r w:rsidR="00965EAF">
        <w:rPr>
          <w:rFonts w:ascii="Century Gothic" w:hAnsi="Century Gothic" w:cs="MyriadPro-Regular"/>
        </w:rPr>
        <w:t>,</w:t>
      </w:r>
      <w:r w:rsidRPr="00572240">
        <w:rPr>
          <w:rFonts w:ascii="Century Gothic" w:hAnsi="Century Gothic" w:cs="MyriadPro-Regular"/>
        </w:rPr>
        <w:t xml:space="preserve"> 7,</w:t>
      </w:r>
      <w:r>
        <w:rPr>
          <w:rFonts w:ascii="Century Gothic" w:hAnsi="Century Gothic" w:cs="MyriadPro-Regular"/>
        </w:rPr>
        <w:t>8</w:t>
      </w:r>
      <w:r w:rsidRPr="00572240">
        <w:rPr>
          <w:rFonts w:ascii="Century Gothic" w:hAnsi="Century Gothic" w:cs="MyriadPro-Regular"/>
        </w:rPr>
        <w:t>%</w:t>
      </w:r>
      <w:r w:rsidR="008363D5">
        <w:rPr>
          <w:rFonts w:ascii="Century Gothic" w:hAnsi="Century Gothic" w:cs="MyriadPro-Regular"/>
        </w:rPr>
        <w:t xml:space="preserve"> </w:t>
      </w:r>
      <w:r w:rsidRPr="00572240">
        <w:rPr>
          <w:rFonts w:ascii="Century Gothic" w:hAnsi="Century Gothic" w:cs="MyriadPro-Regular"/>
        </w:rPr>
        <w:t>y Tarija</w:t>
      </w:r>
      <w:r w:rsidR="00965EAF">
        <w:rPr>
          <w:rFonts w:ascii="Century Gothic" w:hAnsi="Century Gothic" w:cs="MyriadPro-Regular"/>
        </w:rPr>
        <w:t>,</w:t>
      </w:r>
      <w:r w:rsidRPr="00572240">
        <w:rPr>
          <w:rFonts w:ascii="Century Gothic" w:hAnsi="Century Gothic" w:cs="MyriadPro-Regular"/>
        </w:rPr>
        <w:t xml:space="preserve"> 6</w:t>
      </w:r>
      <w:r>
        <w:rPr>
          <w:rFonts w:ascii="Century Gothic" w:hAnsi="Century Gothic" w:cs="MyriadPro-Regular"/>
        </w:rPr>
        <w:t>,4</w:t>
      </w:r>
      <w:r w:rsidRPr="00572240">
        <w:rPr>
          <w:rFonts w:ascii="Century Gothic" w:hAnsi="Century Gothic" w:cs="MyriadPro-Regular"/>
        </w:rPr>
        <w:t>%.</w:t>
      </w:r>
    </w:p>
    <w:p w:rsidR="00572240" w:rsidRDefault="008363D5" w:rsidP="0057224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Solamente</w:t>
      </w:r>
      <w:r w:rsidR="00C87CB9">
        <w:rPr>
          <w:rFonts w:ascii="Century Gothic" w:hAnsi="Century Gothic" w:cs="MyriadPro-Regular"/>
        </w:rPr>
        <w:t xml:space="preserve"> en Trinidad</w:t>
      </w:r>
      <w:r w:rsidR="00572240" w:rsidRPr="00572240">
        <w:rPr>
          <w:rFonts w:ascii="Century Gothic" w:hAnsi="Century Gothic" w:cs="MyriadPro-Regular"/>
        </w:rPr>
        <w:t xml:space="preserve"> </w:t>
      </w:r>
      <w:r w:rsidR="00C87CB9">
        <w:rPr>
          <w:rFonts w:ascii="Century Gothic" w:hAnsi="Century Gothic" w:cs="MyriadPro-Regular"/>
        </w:rPr>
        <w:t>los</w:t>
      </w:r>
      <w:r w:rsidR="00572240" w:rsidRPr="00572240">
        <w:rPr>
          <w:rFonts w:ascii="Century Gothic" w:hAnsi="Century Gothic" w:cs="MyriadPro-Regular"/>
        </w:rPr>
        <w:t xml:space="preserve"> alimentos reduj</w:t>
      </w:r>
      <w:r w:rsidR="00C87CB9">
        <w:rPr>
          <w:rFonts w:ascii="Century Gothic" w:hAnsi="Century Gothic" w:cs="MyriadPro-Regular"/>
        </w:rPr>
        <w:t>eron sus precios respecto de diciembre del</w:t>
      </w:r>
      <w:r w:rsidR="00572240" w:rsidRPr="00572240">
        <w:rPr>
          <w:rFonts w:ascii="Century Gothic" w:hAnsi="Century Gothic" w:cs="MyriadPro-Regular"/>
        </w:rPr>
        <w:t xml:space="preserve"> año pasado en -0,</w:t>
      </w:r>
      <w:r>
        <w:rPr>
          <w:rFonts w:ascii="Century Gothic" w:hAnsi="Century Gothic" w:cs="MyriadPro-Regular"/>
        </w:rPr>
        <w:t>7</w:t>
      </w:r>
      <w:r w:rsidR="00572240" w:rsidRPr="00572240">
        <w:rPr>
          <w:rFonts w:ascii="Century Gothic" w:hAnsi="Century Gothic" w:cs="MyriadPro-Regular"/>
        </w:rPr>
        <w:t>%.</w:t>
      </w:r>
      <w:r w:rsidR="00572240">
        <w:rPr>
          <w:rFonts w:ascii="Century Gothic" w:hAnsi="Century Gothic" w:cs="MyriadPro-Regular"/>
        </w:rPr>
        <w:t xml:space="preserve"> </w:t>
      </w:r>
    </w:p>
    <w:p w:rsidR="00572240" w:rsidRDefault="00572240" w:rsidP="00572240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 w:rsidRPr="00572240">
        <w:rPr>
          <w:noProof/>
          <w:lang w:val="es-ES_tradnl" w:eastAsia="es-ES_tradnl"/>
        </w:rPr>
        <w:drawing>
          <wp:inline distT="0" distB="0" distL="0" distR="0">
            <wp:extent cx="4731174" cy="2627022"/>
            <wp:effectExtent l="2540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531" cy="26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87" w:rsidRDefault="00672CBF" w:rsidP="00AB53D8">
      <w:pPr>
        <w:pStyle w:val="Sinespaciado1"/>
        <w:spacing w:before="120" w:after="120"/>
        <w:jc w:val="both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 xml:space="preserve">Según el último reporte del INE, en </w:t>
      </w:r>
      <w:r w:rsidR="008363D5">
        <w:rPr>
          <w:rFonts w:ascii="Century Gothic" w:hAnsi="Century Gothic" w:cs="MyriadPro-Regular"/>
        </w:rPr>
        <w:t>septiembre</w:t>
      </w:r>
      <w:r w:rsidR="00965EAF">
        <w:rPr>
          <w:rFonts w:ascii="Century Gothic" w:hAnsi="Century Gothic" w:cs="MyriadPro-Regular"/>
        </w:rPr>
        <w:t>,</w:t>
      </w:r>
      <w:r w:rsidR="008363D5">
        <w:rPr>
          <w:rFonts w:ascii="Century Gothic" w:hAnsi="Century Gothic" w:cs="MyriadPro-Regular"/>
        </w:rPr>
        <w:t xml:space="preserve"> los alimentos más importantes que tuvieron incremento en sus precios fueron: </w:t>
      </w:r>
      <w:r w:rsidR="008363D5" w:rsidRPr="008363D5">
        <w:rPr>
          <w:rFonts w:ascii="Century Gothic" w:hAnsi="Century Gothic" w:cs="MyriadPro-Regular"/>
        </w:rPr>
        <w:t>Papa</w:t>
      </w:r>
      <w:r w:rsidR="00965EAF">
        <w:rPr>
          <w:rFonts w:ascii="Century Gothic" w:hAnsi="Century Gothic" w:cs="MyriadPro-Regular"/>
        </w:rPr>
        <w:t>,</w:t>
      </w:r>
      <w:r w:rsidR="008363D5" w:rsidRPr="008363D5">
        <w:rPr>
          <w:rFonts w:ascii="Century Gothic" w:hAnsi="Century Gothic" w:cs="MyriadPro-Regular"/>
        </w:rPr>
        <w:t xml:space="preserve"> 7,54</w:t>
      </w:r>
      <w:r w:rsidR="00965EAF">
        <w:rPr>
          <w:rFonts w:ascii="Century Gothic" w:hAnsi="Century Gothic" w:cs="MyriadPro-Regular"/>
        </w:rPr>
        <w:t>%;</w:t>
      </w:r>
      <w:r w:rsidR="008363D5" w:rsidRPr="008363D5">
        <w:rPr>
          <w:rFonts w:ascii="Century Gothic" w:hAnsi="Century Gothic" w:cs="MyriadPro-Regular"/>
        </w:rPr>
        <w:t xml:space="preserve"> </w:t>
      </w:r>
      <w:r w:rsidR="008363D5">
        <w:rPr>
          <w:rFonts w:ascii="Century Gothic" w:hAnsi="Century Gothic" w:cs="MyriadPro-Regular"/>
        </w:rPr>
        <w:t>l</w:t>
      </w:r>
      <w:r w:rsidR="008363D5" w:rsidRPr="008363D5">
        <w:rPr>
          <w:rFonts w:ascii="Century Gothic" w:hAnsi="Century Gothic" w:cs="MyriadPro-Regular"/>
        </w:rPr>
        <w:t>ocoto</w:t>
      </w:r>
      <w:r w:rsidR="00965EAF">
        <w:rPr>
          <w:rFonts w:ascii="Century Gothic" w:hAnsi="Century Gothic" w:cs="MyriadPro-Regular"/>
        </w:rPr>
        <w:t>,</w:t>
      </w:r>
      <w:r w:rsidR="008363D5" w:rsidRPr="008363D5">
        <w:rPr>
          <w:rFonts w:ascii="Century Gothic" w:hAnsi="Century Gothic" w:cs="MyriadPro-Regular"/>
        </w:rPr>
        <w:t xml:space="preserve"> 13,58</w:t>
      </w:r>
      <w:r w:rsidR="00965EAF">
        <w:rPr>
          <w:rFonts w:ascii="Century Gothic" w:hAnsi="Century Gothic" w:cs="MyriadPro-Regular"/>
        </w:rPr>
        <w:t>%;</w:t>
      </w:r>
      <w:r w:rsidR="008363D5">
        <w:rPr>
          <w:rFonts w:ascii="Century Gothic" w:hAnsi="Century Gothic" w:cs="MyriadPro-Regular"/>
        </w:rPr>
        <w:t xml:space="preserve"> c</w:t>
      </w:r>
      <w:r w:rsidR="008363D5" w:rsidRPr="008363D5">
        <w:rPr>
          <w:rFonts w:ascii="Century Gothic" w:hAnsi="Century Gothic" w:cs="MyriadPro-Regular"/>
        </w:rPr>
        <w:t>arne de pollo</w:t>
      </w:r>
      <w:r w:rsidR="00965EAF">
        <w:rPr>
          <w:rFonts w:ascii="Century Gothic" w:hAnsi="Century Gothic" w:cs="MyriadPro-Regular"/>
        </w:rPr>
        <w:t>,</w:t>
      </w:r>
      <w:r w:rsidR="008363D5" w:rsidRPr="008363D5">
        <w:rPr>
          <w:rFonts w:ascii="Century Gothic" w:hAnsi="Century Gothic" w:cs="MyriadPro-Regular"/>
        </w:rPr>
        <w:t xml:space="preserve"> 2,19</w:t>
      </w:r>
      <w:r w:rsidR="00965EAF">
        <w:rPr>
          <w:rFonts w:ascii="Century Gothic" w:hAnsi="Century Gothic" w:cs="MyriadPro-Regular"/>
        </w:rPr>
        <w:t xml:space="preserve">%; </w:t>
      </w:r>
      <w:r w:rsidR="008363D5">
        <w:rPr>
          <w:rFonts w:ascii="Century Gothic" w:hAnsi="Century Gothic" w:cs="MyriadPro-Regular"/>
        </w:rPr>
        <w:t>a</w:t>
      </w:r>
      <w:r w:rsidR="008363D5" w:rsidRPr="008363D5">
        <w:rPr>
          <w:rFonts w:ascii="Century Gothic" w:hAnsi="Century Gothic" w:cs="MyriadPro-Regular"/>
        </w:rPr>
        <w:t>zúcar</w:t>
      </w:r>
      <w:r w:rsidR="00965EAF">
        <w:rPr>
          <w:rFonts w:ascii="Century Gothic" w:hAnsi="Century Gothic" w:cs="MyriadPro-Regular"/>
        </w:rPr>
        <w:t>,</w:t>
      </w:r>
      <w:r w:rsidR="008363D5">
        <w:rPr>
          <w:rFonts w:ascii="Century Gothic" w:hAnsi="Century Gothic" w:cs="MyriadPro-Regular"/>
        </w:rPr>
        <w:t xml:space="preserve"> </w:t>
      </w:r>
      <w:r w:rsidR="008363D5" w:rsidRPr="008363D5">
        <w:rPr>
          <w:rFonts w:ascii="Century Gothic" w:hAnsi="Century Gothic" w:cs="MyriadPro-Regular"/>
        </w:rPr>
        <w:t>3,89</w:t>
      </w:r>
      <w:r w:rsidR="00965EAF">
        <w:rPr>
          <w:rFonts w:ascii="Century Gothic" w:hAnsi="Century Gothic" w:cs="MyriadPro-Regular"/>
        </w:rPr>
        <w:t>%;</w:t>
      </w:r>
      <w:r w:rsidR="008363D5">
        <w:rPr>
          <w:rFonts w:ascii="Century Gothic" w:hAnsi="Century Gothic" w:cs="MyriadPro-Regular"/>
        </w:rPr>
        <w:t xml:space="preserve"> c</w:t>
      </w:r>
      <w:r w:rsidR="008363D5" w:rsidRPr="008363D5">
        <w:rPr>
          <w:rFonts w:ascii="Century Gothic" w:hAnsi="Century Gothic" w:cs="MyriadPro-Regular"/>
        </w:rPr>
        <w:t>arne de res con hueso</w:t>
      </w:r>
      <w:r w:rsidR="00965EAF">
        <w:rPr>
          <w:rFonts w:ascii="Century Gothic" w:hAnsi="Century Gothic" w:cs="MyriadPro-Regular"/>
        </w:rPr>
        <w:t>,</w:t>
      </w:r>
      <w:r w:rsidR="008363D5" w:rsidRPr="008363D5">
        <w:rPr>
          <w:rFonts w:ascii="Century Gothic" w:hAnsi="Century Gothic" w:cs="MyriadPro-Regular"/>
        </w:rPr>
        <w:t xml:space="preserve"> 0,78</w:t>
      </w:r>
      <w:r w:rsidR="008363D5">
        <w:rPr>
          <w:rFonts w:ascii="Century Gothic" w:hAnsi="Century Gothic" w:cs="MyriadPro-Regular"/>
        </w:rPr>
        <w:t>% y p</w:t>
      </w:r>
      <w:r w:rsidR="008363D5" w:rsidRPr="008363D5">
        <w:rPr>
          <w:rFonts w:ascii="Century Gothic" w:hAnsi="Century Gothic" w:cs="MyriadPro-Regular"/>
        </w:rPr>
        <w:t>imentón/morrón</w:t>
      </w:r>
      <w:r w:rsidR="00965EAF">
        <w:rPr>
          <w:rFonts w:ascii="Century Gothic" w:hAnsi="Century Gothic" w:cs="MyriadPro-Regular"/>
        </w:rPr>
        <w:t>,</w:t>
      </w:r>
      <w:r w:rsidR="008363D5" w:rsidRPr="008363D5">
        <w:rPr>
          <w:rFonts w:ascii="Century Gothic" w:hAnsi="Century Gothic" w:cs="MyriadPro-Regular"/>
        </w:rPr>
        <w:t xml:space="preserve"> 15,84</w:t>
      </w:r>
      <w:r w:rsidR="008363D5">
        <w:rPr>
          <w:rFonts w:ascii="Century Gothic" w:hAnsi="Century Gothic" w:cs="MyriadPro-Regular"/>
        </w:rPr>
        <w:t>%.</w:t>
      </w:r>
    </w:p>
    <w:p w:rsidR="00672CBF" w:rsidRPr="00190D87" w:rsidRDefault="00672CBF" w:rsidP="00AB53D8">
      <w:pPr>
        <w:pStyle w:val="Sinespaciado1"/>
        <w:spacing w:before="120" w:after="120"/>
        <w:jc w:val="both"/>
        <w:rPr>
          <w:rFonts w:ascii="Century Gothic" w:hAnsi="Century Gothic" w:cs="MyriadPro-Regular"/>
          <w:sz w:val="16"/>
        </w:rPr>
      </w:pPr>
    </w:p>
    <w:p w:rsidR="008740C0" w:rsidRPr="009169A6" w:rsidRDefault="008740C0" w:rsidP="008740C0">
      <w:pPr>
        <w:pStyle w:val="Sinespaciado1"/>
        <w:spacing w:before="120" w:after="120"/>
        <w:rPr>
          <w:rFonts w:ascii="Century Gothic" w:hAnsi="Century Gothic" w:cs="MyriadPro-Regular"/>
          <w:color w:val="7F7F7F"/>
          <w:sz w:val="16"/>
        </w:rPr>
      </w:pPr>
      <w:r w:rsidRPr="009169A6">
        <w:rPr>
          <w:rFonts w:ascii="Century Gothic" w:hAnsi="Century Gothic" w:cs="MyriadPro-Regular"/>
          <w:color w:val="7F7F7F"/>
          <w:sz w:val="16"/>
        </w:rPr>
        <w:t>Fundación Jubileo</w:t>
      </w:r>
      <w:r w:rsidRPr="009169A6">
        <w:rPr>
          <w:rFonts w:ascii="Century Gothic" w:hAnsi="Century Gothic" w:cs="MyriadPro-Regular"/>
          <w:color w:val="7F7F7F"/>
          <w:sz w:val="16"/>
        </w:rPr>
        <w:br/>
      </w:r>
      <w:r w:rsidR="008363D5">
        <w:rPr>
          <w:rFonts w:ascii="Century Gothic" w:hAnsi="Century Gothic" w:cs="MyriadPro-Regular"/>
          <w:color w:val="7F7F7F"/>
          <w:sz w:val="16"/>
        </w:rPr>
        <w:t xml:space="preserve">Octubre </w:t>
      </w:r>
      <w:r w:rsidRPr="009169A6">
        <w:rPr>
          <w:rFonts w:ascii="Century Gothic" w:hAnsi="Century Gothic" w:cs="MyriadPro-Regular"/>
          <w:color w:val="7F7F7F"/>
          <w:sz w:val="16"/>
        </w:rPr>
        <w:t>201</w:t>
      </w:r>
      <w:r w:rsidR="008363D5">
        <w:rPr>
          <w:rFonts w:ascii="Century Gothic" w:hAnsi="Century Gothic" w:cs="MyriadPro-Regular"/>
          <w:color w:val="7F7F7F"/>
          <w:sz w:val="16"/>
        </w:rPr>
        <w:t>6</w:t>
      </w:r>
    </w:p>
    <w:sectPr w:rsidR="008740C0" w:rsidRPr="009169A6" w:rsidSect="008740C0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87CB9" w:rsidRDefault="00C87CB9" w:rsidP="008740C0">
      <w:pPr>
        <w:spacing w:after="0" w:line="240" w:lineRule="auto"/>
      </w:pPr>
      <w:r>
        <w:separator/>
      </w:r>
    </w:p>
  </w:endnote>
  <w:endnote w:type="continuationSeparator" w:id="1">
    <w:p w:rsidR="00C87CB9" w:rsidRDefault="00C87CB9" w:rsidP="0087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87CB9" w:rsidRPr="00531C65" w:rsidRDefault="00C87CB9">
    <w:pPr>
      <w:pStyle w:val="Piedepgina"/>
      <w:jc w:val="right"/>
      <w:rPr>
        <w:sz w:val="20"/>
      </w:rPr>
    </w:pPr>
    <w:fldSimple w:instr=" PAGE   \* MERGEFORMAT ">
      <w:r w:rsidR="001A763F" w:rsidRPr="001A763F">
        <w:rPr>
          <w:noProof/>
          <w:sz w:val="20"/>
        </w:rPr>
        <w:t>1</w:t>
      </w:r>
    </w:fldSimple>
  </w:p>
  <w:p w:rsidR="00C87CB9" w:rsidRPr="00531C65" w:rsidRDefault="00C87CB9">
    <w:pPr>
      <w:pStyle w:val="Piedepgina"/>
      <w:rPr>
        <w:sz w:val="20"/>
      </w:rPr>
    </w:pPr>
    <w:r w:rsidRPr="008E1699">
      <w:rPr>
        <w:noProof/>
        <w:sz w:val="20"/>
        <w:lang w:eastAsia="es-ES"/>
      </w:rPr>
      <w:pict>
        <v:rect id="Rectangle 4" o:spid="_x0000_s4096" style="position:absolute;margin-left:-11.3pt;margin-top:6.6pt;width:474pt;height:5.3pt;flip:y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0 -34 15428 21600 15428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" fillcolor="#036" stroked="f">
          <w10:wrap type="tight"/>
        </v:rect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87CB9" w:rsidRDefault="00C87CB9" w:rsidP="008740C0">
      <w:pPr>
        <w:spacing w:after="0" w:line="240" w:lineRule="auto"/>
      </w:pPr>
      <w:r>
        <w:separator/>
      </w:r>
    </w:p>
  </w:footnote>
  <w:footnote w:type="continuationSeparator" w:id="1">
    <w:p w:rsidR="00C87CB9" w:rsidRDefault="00C87CB9" w:rsidP="0087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87CB9" w:rsidRDefault="00C87CB9">
    <w:pPr>
      <w:pStyle w:val="Encabezado"/>
    </w:pPr>
    <w:r w:rsidRPr="008E1699">
      <w:rPr>
        <w:noProof/>
        <w:lang w:eastAsia="es-ES"/>
      </w:rPr>
      <w:pict>
        <v:group id="Group 1" o:spid="_x0000_s4097" style="position:absolute;margin-left:-11.3pt;margin-top:5.4pt;width:471pt;height:5.3pt;z-index:251657216" coordorigin="1699,3060" coordsize="8820,115" wrapcoords="-34 0 -34 3085 17369 15428 19329 15428 21634 15428 21668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">
          <v:line id="Line 2" o:spid="_x0000_s4099" style="position:absolute;visibility:visible;mso-wrap-style:square" from="1699,3060" to="10519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Fc8AAAADaAAAADwAAAGRycy9kb3ducmV2LnhtbESPQYvCMBSE74L/ITxhb5q6ByvVKEUQ&#10;Vk9WBa+P5tkWm5fSRFP//WZhweMwM98w6+1gWvGi3jWWFcxnCQji0uqGKwXXy366BOE8ssbWMil4&#10;k4PtZjxaY6Zt4IJeZ1+JCGGXoYLa+y6T0pU1GXQz2xFH7257gz7KvpK6xxDhppXfSbKQBhuOCzV2&#10;tKupfJyfRsEtD7f54ZIHv0+LU9idBnNMC6W+JkO+AuFp8J/wf/tHK0jh70q8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RRXPAAAAA2gAAAA8AAAAAAAAAAAAAAAAA&#10;oQIAAGRycy9kb3ducmV2LnhtbFBLBQYAAAAABAAEAPkAAACOAwAAAAA=&#10;" strokecolor="#036"/>
          <v:rect id="Rectangle 3" o:spid="_x0000_s4098" style="position:absolute;left:9619;top:3060;width:900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T88UA&#10;AADaAAAADwAAAGRycy9kb3ducmV2LnhtbESPQWvCQBSE7wX/w/IKXopu7EFqmo2IEigFi01U8PbI&#10;viah2bchu5r033eFQo/DzHzDJOvRtOJGvWssK1jMIxDEpdUNVwqORTZ7AeE8ssbWMin4IQfrdPKQ&#10;YKztwJ90y30lAoRdjApq77tYSlfWZNDNbUccvC/bG/RB9pXUPQ4Bblr5HEVLabDhsFBjR9uayu/8&#10;ahQU2ftl+Fgt95fm6bQ7VNn+nG+0UtPHcfMKwtPo/8N/7TetYAX3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RPzxQAAANoAAAAPAAAAAAAAAAAAAAAAAJgCAABkcnMv&#10;ZG93bnJldi54bWxQSwUGAAAAAAQABAD1AAAAigMAAAAA&#10;" fillcolor="#036" stroked="f"/>
          <w10:wrap type="tight"/>
        </v:group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474A8"/>
    <w:multiLevelType w:val="hybridMultilevel"/>
    <w:tmpl w:val="49EC64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2">
      <o:colormru v:ext="edit" colors="#4c9fff,#e6f1f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7E17"/>
    <w:rsid w:val="00064647"/>
    <w:rsid w:val="00064B65"/>
    <w:rsid w:val="000706AD"/>
    <w:rsid w:val="000C3C2B"/>
    <w:rsid w:val="000E6E3B"/>
    <w:rsid w:val="000F7F4A"/>
    <w:rsid w:val="0010758C"/>
    <w:rsid w:val="00123E98"/>
    <w:rsid w:val="00160DC9"/>
    <w:rsid w:val="00174E50"/>
    <w:rsid w:val="00190D87"/>
    <w:rsid w:val="001955EA"/>
    <w:rsid w:val="001A763F"/>
    <w:rsid w:val="001B0C85"/>
    <w:rsid w:val="001B2D34"/>
    <w:rsid w:val="001C7E17"/>
    <w:rsid w:val="001E05D0"/>
    <w:rsid w:val="00202553"/>
    <w:rsid w:val="00205FBB"/>
    <w:rsid w:val="0021590F"/>
    <w:rsid w:val="0026503B"/>
    <w:rsid w:val="00267138"/>
    <w:rsid w:val="002A6834"/>
    <w:rsid w:val="002C15B8"/>
    <w:rsid w:val="00330C4B"/>
    <w:rsid w:val="003405CD"/>
    <w:rsid w:val="00370AF6"/>
    <w:rsid w:val="003844D6"/>
    <w:rsid w:val="003B6A43"/>
    <w:rsid w:val="003F6E94"/>
    <w:rsid w:val="00476501"/>
    <w:rsid w:val="004A07D2"/>
    <w:rsid w:val="004C1A10"/>
    <w:rsid w:val="004D0497"/>
    <w:rsid w:val="004D4869"/>
    <w:rsid w:val="004D5FA4"/>
    <w:rsid w:val="005702ED"/>
    <w:rsid w:val="00572240"/>
    <w:rsid w:val="00584306"/>
    <w:rsid w:val="005C2F74"/>
    <w:rsid w:val="005D1BEE"/>
    <w:rsid w:val="005E6624"/>
    <w:rsid w:val="00633066"/>
    <w:rsid w:val="00634C06"/>
    <w:rsid w:val="00634DC9"/>
    <w:rsid w:val="00645CB6"/>
    <w:rsid w:val="006612E3"/>
    <w:rsid w:val="00672CBF"/>
    <w:rsid w:val="00693092"/>
    <w:rsid w:val="006A1873"/>
    <w:rsid w:val="006D0422"/>
    <w:rsid w:val="0070584F"/>
    <w:rsid w:val="00715696"/>
    <w:rsid w:val="00726A36"/>
    <w:rsid w:val="0074424D"/>
    <w:rsid w:val="00746F05"/>
    <w:rsid w:val="007541E6"/>
    <w:rsid w:val="00757646"/>
    <w:rsid w:val="0076297F"/>
    <w:rsid w:val="00791E8C"/>
    <w:rsid w:val="007B1AD2"/>
    <w:rsid w:val="007D0624"/>
    <w:rsid w:val="007D4A2F"/>
    <w:rsid w:val="0080301A"/>
    <w:rsid w:val="00803D22"/>
    <w:rsid w:val="008046CC"/>
    <w:rsid w:val="008316C9"/>
    <w:rsid w:val="008363D5"/>
    <w:rsid w:val="008377A9"/>
    <w:rsid w:val="0086591C"/>
    <w:rsid w:val="008740C0"/>
    <w:rsid w:val="008B41FA"/>
    <w:rsid w:val="008E0F71"/>
    <w:rsid w:val="008E1699"/>
    <w:rsid w:val="008E48BE"/>
    <w:rsid w:val="008F0AB8"/>
    <w:rsid w:val="009169A6"/>
    <w:rsid w:val="00965EAF"/>
    <w:rsid w:val="00973F02"/>
    <w:rsid w:val="009D3F2E"/>
    <w:rsid w:val="009E144C"/>
    <w:rsid w:val="009E6CEE"/>
    <w:rsid w:val="009F00E4"/>
    <w:rsid w:val="00A1274A"/>
    <w:rsid w:val="00A32C17"/>
    <w:rsid w:val="00A52D9F"/>
    <w:rsid w:val="00A86DBE"/>
    <w:rsid w:val="00A91038"/>
    <w:rsid w:val="00A922B7"/>
    <w:rsid w:val="00AA1922"/>
    <w:rsid w:val="00AB4467"/>
    <w:rsid w:val="00AB53D8"/>
    <w:rsid w:val="00B17C99"/>
    <w:rsid w:val="00B205D5"/>
    <w:rsid w:val="00B26C6F"/>
    <w:rsid w:val="00B41617"/>
    <w:rsid w:val="00B4763B"/>
    <w:rsid w:val="00B70CB4"/>
    <w:rsid w:val="00B7115B"/>
    <w:rsid w:val="00BA1B25"/>
    <w:rsid w:val="00BE5190"/>
    <w:rsid w:val="00C464A7"/>
    <w:rsid w:val="00C57047"/>
    <w:rsid w:val="00C85371"/>
    <w:rsid w:val="00C87CB9"/>
    <w:rsid w:val="00CA211E"/>
    <w:rsid w:val="00CD04A7"/>
    <w:rsid w:val="00CD51C1"/>
    <w:rsid w:val="00CF02D9"/>
    <w:rsid w:val="00CF23D8"/>
    <w:rsid w:val="00D008E3"/>
    <w:rsid w:val="00D03C32"/>
    <w:rsid w:val="00D26859"/>
    <w:rsid w:val="00D320B9"/>
    <w:rsid w:val="00DB1E7F"/>
    <w:rsid w:val="00DD6C10"/>
    <w:rsid w:val="00DE1B5F"/>
    <w:rsid w:val="00DE33C0"/>
    <w:rsid w:val="00DF18CD"/>
    <w:rsid w:val="00DF4669"/>
    <w:rsid w:val="00DF7A82"/>
    <w:rsid w:val="00DF7CC0"/>
    <w:rsid w:val="00E0543A"/>
    <w:rsid w:val="00E0662C"/>
    <w:rsid w:val="00E13759"/>
    <w:rsid w:val="00E16BF9"/>
    <w:rsid w:val="00E32BC2"/>
    <w:rsid w:val="00E36E0B"/>
    <w:rsid w:val="00E55438"/>
    <w:rsid w:val="00EA7C2E"/>
    <w:rsid w:val="00EC046D"/>
    <w:rsid w:val="00ED6348"/>
    <w:rsid w:val="00F02A53"/>
    <w:rsid w:val="00F32BB5"/>
    <w:rsid w:val="00F54F95"/>
    <w:rsid w:val="00F60C4B"/>
    <w:rsid w:val="00F67FA6"/>
    <w:rsid w:val="00F77493"/>
    <w:rsid w:val="00F90813"/>
    <w:rsid w:val="00FB66BC"/>
    <w:rsid w:val="00FC35F4"/>
    <w:rsid w:val="00FC5B1A"/>
    <w:rsid w:val="00FD4A60"/>
    <w:rsid w:val="00FE7B8E"/>
    <w:rsid w:val="00FF1B2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ru v:ext="edit" colors="#4c9fff,#e6f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A5CD1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CA5CD1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4054-F23B-410A-B324-546F20CB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Word 12.0.0</Application>
  <DocSecurity>0</DocSecurity>
  <Lines>16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Fundación Jubileo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Jubileo MAC</cp:lastModifiedBy>
  <cp:revision>2</cp:revision>
  <cp:lastPrinted>2015-09-16T19:34:00Z</cp:lastPrinted>
  <dcterms:created xsi:type="dcterms:W3CDTF">2016-10-06T21:58:00Z</dcterms:created>
  <dcterms:modified xsi:type="dcterms:W3CDTF">2016-10-06T21:58:00Z</dcterms:modified>
</cp:coreProperties>
</file>